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5A47BD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5A47BD">
        <w:rPr>
          <w:rFonts w:ascii="Segoe UI" w:hAnsi="Segoe UI" w:cs="Segoe UI"/>
          <w:b/>
          <w:noProof/>
          <w:sz w:val="28"/>
        </w:rPr>
        <w:t>Новосибирский Росреестр и местные органы власти: эффективное сотрудничество для улучшения кач</w:t>
      </w:r>
      <w:bookmarkStart w:id="0" w:name="_GoBack"/>
      <w:bookmarkEnd w:id="0"/>
      <w:r w:rsidRPr="005A47BD">
        <w:rPr>
          <w:rFonts w:ascii="Segoe UI" w:hAnsi="Segoe UI" w:cs="Segoe UI"/>
          <w:b/>
          <w:noProof/>
          <w:sz w:val="28"/>
        </w:rPr>
        <w:t>ества услуг в сфере недвижимости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A47BD" w:rsidRPr="005A47BD" w:rsidRDefault="005A47BD" w:rsidP="005A47BD">
      <w:pPr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Эффективная коммуникация новосибирского Росреестра и местных органов власти играет ключевую роль в обеспечении стабильности и развития региона. В своей деятельности ведомство ежедневно взаимодействует с органами местного самоуправления по различным вопросам — внесение в Единый государственный реестр недвижимости сведений о границах населенных пунктов, территориальных зон, наполнение Единого государственного реестра недвижимости сведениями о категории земель и разрешенном использовании земельных участков. 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Новосибирским Росреестром и местными администрациями обсуждаются изменения законодательства, формируется единая правоприменительная практика, специалистам местных органов власти разъясняется состав пакета документам по отдельным видам учетно-регистрационных действий. Для оказания помощи по направлению электронных документов в Управлении Росреестра по Новосибирской области действует Школа электронных услуг. Это повысило качество предоставляемых документов, избавило граждан и организации от временных и финансовых затрат и позволило оформлять права на недвижимость в течение одного рабочего дня.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i/>
          <w:sz w:val="28"/>
          <w:szCs w:val="28"/>
          <w:lang w:eastAsia="ru-RU"/>
        </w:rPr>
        <w:t>«Такое тесное сотрудничество между Росреестром и местными властями способствует повышению эффективности управления земельными ресурсами, улучшению инвестиционного климата и созданию благоприятных условий для развития бизнеса и экономики региона»</w:t>
      </w: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– отметила </w:t>
      </w:r>
      <w:r w:rsidRPr="005A47BD">
        <w:rPr>
          <w:rFonts w:ascii="Segoe UI" w:eastAsia="Times New Roman" w:hAnsi="Segoe UI" w:cs="Segoe UI"/>
          <w:b/>
          <w:sz w:val="28"/>
          <w:szCs w:val="28"/>
          <w:lang w:eastAsia="ru-RU"/>
        </w:rPr>
        <w:t>Светлана Рягузова</w:t>
      </w: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руководитель Управления Росреестра по Новосибирской области. 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Руководство ведомства ежемесячно проводит встречи с главами местных администраций районов Новосибирской области для обсуждения актуальных вопросов наполнения Единого государственного реестра недвижимости (ЕГРН) полными и точными сведениями, использования единой цифровой платформы «Национальная системы пространственных данных».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 xml:space="preserve">С начала года совместные совещания уже прошли в городах Бердске, Искитиме, Искитимском, Кочковском, Болотнинском, Ордынском и Доволенском районах области. 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В целях решения приоритетных задач в ра</w:t>
      </w:r>
      <w:r>
        <w:rPr>
          <w:rFonts w:ascii="Segoe UI" w:eastAsia="Times New Roman" w:hAnsi="Segoe UI" w:cs="Segoe UI"/>
          <w:sz w:val="28"/>
          <w:szCs w:val="28"/>
          <w:lang w:eastAsia="ru-RU"/>
        </w:rPr>
        <w:t xml:space="preserve">мках реализации государственной </w:t>
      </w: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программы «Национальная система пространственных данных» в ходе встреч рассматриваются вопросы проведения комплексных кадастровых работ, выявления правообладателей ранее учтенных объектов недвижимости, внесения в ЕГРН сведений о границах населенных пунктов и территориальных зон, регистрации права муниципальной собственности. 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5A47B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D2E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A47B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1924F2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1924F2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1924F2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4C" w:rsidRDefault="0092734C" w:rsidP="00747FDB">
      <w:pPr>
        <w:spacing w:after="0" w:line="240" w:lineRule="auto"/>
      </w:pPr>
      <w:r>
        <w:separator/>
      </w:r>
    </w:p>
  </w:endnote>
  <w:endnote w:type="continuationSeparator" w:id="0">
    <w:p w:rsidR="0092734C" w:rsidRDefault="0092734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4C" w:rsidRDefault="0092734C" w:rsidP="00747FDB">
      <w:pPr>
        <w:spacing w:after="0" w:line="240" w:lineRule="auto"/>
      </w:pPr>
      <w:r>
        <w:separator/>
      </w:r>
    </w:p>
  </w:footnote>
  <w:footnote w:type="continuationSeparator" w:id="0">
    <w:p w:rsidR="0092734C" w:rsidRDefault="0092734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A47BD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2734C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3BAB"/>
  <w15:docId w15:val="{00A226EF-6405-4D83-80B8-EFD78EC3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2024-04-19T08:01:00Z</dcterms:modified>
</cp:coreProperties>
</file>