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pStyle w:val="Style_1"/>
        <w:ind/>
        <w:jc w:val="center"/>
      </w:pPr>
      <w:r>
        <w:t>АДМИНИСТРАЦИЯ ИЛЬИНСКОГО СЕЛЬСОВЕТА</w:t>
      </w:r>
    </w:p>
    <w:p w14:paraId="02000000">
      <w:pPr>
        <w:ind/>
        <w:jc w:val="center"/>
        <w:rPr>
          <w:sz w:val="28"/>
        </w:rPr>
      </w:pPr>
      <w:r>
        <w:rPr>
          <w:sz w:val="28"/>
        </w:rPr>
        <w:t>ДОВОЛЕНСКОГО РАЙОНА НОВОСИБИРСКОЙ ОБЛАСТИ</w:t>
      </w:r>
    </w:p>
    <w:p w14:paraId="03000000">
      <w:pPr>
        <w:ind/>
        <w:jc w:val="center"/>
        <w:rPr>
          <w:sz w:val="28"/>
        </w:rPr>
      </w:pPr>
    </w:p>
    <w:p w14:paraId="04000000">
      <w:pPr>
        <w:ind/>
        <w:jc w:val="center"/>
        <w:rPr>
          <w:sz w:val="28"/>
        </w:rPr>
      </w:pPr>
      <w:r>
        <w:rPr>
          <w:sz w:val="28"/>
        </w:rPr>
        <w:t>П</w:t>
      </w:r>
      <w:r>
        <w:rPr>
          <w:sz w:val="28"/>
        </w:rPr>
        <w:t xml:space="preserve"> О С Т А Н О В Л Е Н И Е</w:t>
      </w:r>
    </w:p>
    <w:p w14:paraId="05000000">
      <w:pPr>
        <w:rPr>
          <w:sz w:val="28"/>
        </w:rPr>
      </w:pPr>
      <w:r>
        <w:rPr>
          <w:sz w:val="28"/>
        </w:rPr>
        <w:t>от 25</w:t>
      </w:r>
      <w:r>
        <w:rPr>
          <w:sz w:val="28"/>
        </w:rPr>
        <w:t>.0</w:t>
      </w:r>
      <w:r>
        <w:rPr>
          <w:sz w:val="28"/>
        </w:rPr>
        <w:t>3</w:t>
      </w:r>
      <w:r>
        <w:rPr>
          <w:sz w:val="28"/>
        </w:rPr>
        <w:t>.2025</w:t>
      </w:r>
      <w:r>
        <w:rPr>
          <w:sz w:val="28"/>
        </w:rPr>
        <w:t xml:space="preserve">г.                                                                      </w:t>
      </w:r>
      <w:r>
        <w:rPr>
          <w:sz w:val="28"/>
        </w:rPr>
        <w:t xml:space="preserve">                  </w:t>
      </w:r>
      <w:r>
        <w:rPr>
          <w:sz w:val="28"/>
        </w:rPr>
        <w:t xml:space="preserve">   </w:t>
      </w:r>
      <w:r>
        <w:rPr>
          <w:sz w:val="28"/>
        </w:rPr>
        <w:t xml:space="preserve">       № </w:t>
      </w:r>
      <w:r>
        <w:rPr>
          <w:sz w:val="28"/>
        </w:rPr>
        <w:t>1</w:t>
      </w:r>
      <w:r>
        <w:rPr>
          <w:sz w:val="28"/>
        </w:rPr>
        <w:t>5</w:t>
      </w:r>
    </w:p>
    <w:p w14:paraId="06000000">
      <w:pPr>
        <w:ind/>
        <w:jc w:val="center"/>
        <w:rPr>
          <w:sz w:val="28"/>
        </w:rPr>
      </w:pPr>
      <w:r>
        <w:rPr>
          <w:sz w:val="28"/>
        </w:rPr>
        <w:t>с</w:t>
      </w:r>
      <w:r>
        <w:rPr>
          <w:sz w:val="28"/>
        </w:rPr>
        <w:t>. Ильинка</w:t>
      </w:r>
    </w:p>
    <w:p w14:paraId="07000000">
      <w:pPr>
        <w:rPr>
          <w:sz w:val="28"/>
        </w:rPr>
      </w:pPr>
    </w:p>
    <w:p w14:paraId="08000000">
      <w:pPr>
        <w:ind/>
        <w:jc w:val="center"/>
        <w:rPr>
          <w:sz w:val="28"/>
        </w:rPr>
      </w:pPr>
      <w:r>
        <w:rPr>
          <w:sz w:val="28"/>
        </w:rPr>
        <w:t xml:space="preserve">Об утверждении Схемы размещения </w:t>
      </w:r>
      <w:r>
        <w:rPr>
          <w:sz w:val="28"/>
        </w:rPr>
        <w:t>нестационарных</w:t>
      </w:r>
      <w:r>
        <w:rPr>
          <w:sz w:val="28"/>
        </w:rPr>
        <w:t xml:space="preserve"> торговых</w:t>
      </w:r>
    </w:p>
    <w:p w14:paraId="09000000">
      <w:pPr>
        <w:ind/>
        <w:jc w:val="center"/>
        <w:rPr>
          <w:sz w:val="28"/>
        </w:rPr>
      </w:pPr>
      <w:r>
        <w:rPr>
          <w:sz w:val="28"/>
        </w:rPr>
        <w:t>объектов  на территории Ильинского сельсовета Доволенского района Новосибирской области</w:t>
      </w:r>
    </w:p>
    <w:p w14:paraId="0A000000">
      <w:pPr>
        <w:ind/>
        <w:jc w:val="both"/>
        <w:rPr>
          <w:sz w:val="28"/>
        </w:rPr>
      </w:pPr>
    </w:p>
    <w:p w14:paraId="0B000000">
      <w:pPr>
        <w:ind/>
        <w:jc w:val="both"/>
        <w:rPr>
          <w:sz w:val="28"/>
        </w:rPr>
      </w:pPr>
      <w:r>
        <w:rPr>
          <w:sz w:val="28"/>
        </w:rPr>
        <w:t xml:space="preserve">    В соответствии с</w:t>
      </w:r>
      <w:r>
        <w:rPr>
          <w:sz w:val="28"/>
        </w:rPr>
        <w:t xml:space="preserve"> Федеральным законом от 28.12.2009 г. № 381-ФЗ «Об основах государственного регулирования торговой деятельности в Российской Федерации», приказом Министерства промышленности, торговли и развития предпринимательства в Новосибирской области от 24.01.2011 года № 10 «О порядке разработки и утверждения органами местного самоуправления Схемы размещения нестационарных торговых объектов»</w:t>
      </w:r>
      <w:r>
        <w:rPr>
          <w:sz w:val="28"/>
        </w:rPr>
        <w:t xml:space="preserve">, </w:t>
      </w:r>
      <w:r>
        <w:rPr>
          <w:sz w:val="28"/>
        </w:rPr>
        <w:t>администрация Ильинского сельсовета Доволенского района Новосибирской области ПОСТАНОВЛЯЕТ:</w:t>
      </w:r>
    </w:p>
    <w:p w14:paraId="0C000000">
      <w:pPr>
        <w:ind w:firstLine="0" w:left="360"/>
        <w:jc w:val="both"/>
        <w:rPr>
          <w:sz w:val="28"/>
        </w:rPr>
      </w:pPr>
      <w:r>
        <w:rPr>
          <w:sz w:val="28"/>
        </w:rPr>
        <w:t>1. Утвердить прилагаемую Схему размещения нестационарных торговых объектов на территории Ильинского сельсовета Доволенского района Новосибирской области, согласно приложению 1.</w:t>
      </w:r>
    </w:p>
    <w:p w14:paraId="0D000000">
      <w:pPr>
        <w:ind w:firstLine="0" w:left="360"/>
        <w:jc w:val="both"/>
        <w:rPr>
          <w:sz w:val="28"/>
        </w:rPr>
      </w:pPr>
      <w:r>
        <w:rPr>
          <w:sz w:val="28"/>
        </w:rPr>
        <w:t xml:space="preserve">2. Утвердить графическую схему </w:t>
      </w:r>
      <w:r>
        <w:rPr>
          <w:sz w:val="28"/>
        </w:rPr>
        <w:t>размещения нестационарных торговых объектов, согласно приложению 2, 3.</w:t>
      </w:r>
    </w:p>
    <w:p w14:paraId="0E000000">
      <w:pPr>
        <w:ind w:firstLine="0" w:left="360"/>
        <w:jc w:val="both"/>
        <w:rPr>
          <w:sz w:val="28"/>
        </w:rPr>
      </w:pPr>
      <w:r>
        <w:rPr>
          <w:sz w:val="28"/>
        </w:rPr>
        <w:t>3. Постановление № 15 от 12.03.2020г "</w:t>
      </w:r>
      <w:r>
        <w:rPr>
          <w:sz w:val="28"/>
        </w:rPr>
        <w:t xml:space="preserve">Об утверждении Схемы размещения </w:t>
      </w:r>
      <w:r>
        <w:rPr>
          <w:sz w:val="28"/>
        </w:rPr>
        <w:t>нестационарных</w:t>
      </w:r>
      <w:r>
        <w:rPr>
          <w:sz w:val="28"/>
        </w:rPr>
        <w:t xml:space="preserve"> торговых </w:t>
      </w:r>
      <w:r>
        <w:rPr>
          <w:sz w:val="28"/>
        </w:rPr>
        <w:t>объектов  на территории Ильинского сельсовета Доволенского района Новосибирской области" признать утратившим силу.</w:t>
      </w:r>
    </w:p>
    <w:p w14:paraId="0F000000">
      <w:pPr>
        <w:ind w:firstLine="0" w:left="360"/>
        <w:jc w:val="both"/>
        <w:rPr>
          <w:sz w:val="28"/>
        </w:rPr>
      </w:pPr>
      <w:r>
        <w:rPr>
          <w:sz w:val="28"/>
        </w:rPr>
        <w:t>4. Опубликовать настоящее постановление  в периодическом издании «Ильинский вестник» и разместить на официальном сайте администрации Ильинского сельсовета Доволенского района Новосибирской области.</w:t>
      </w:r>
    </w:p>
    <w:p w14:paraId="10000000">
      <w:pPr>
        <w:ind w:firstLine="0" w:left="360"/>
        <w:jc w:val="both"/>
        <w:rPr>
          <w:sz w:val="28"/>
        </w:rPr>
      </w:pPr>
      <w:r>
        <w:rPr>
          <w:sz w:val="28"/>
        </w:rPr>
        <w:t>5. Обеспечить отправку данного постановления в Министерство промышленности, торговли и развития предпринимательства НСО в установленном законодательством порядке.</w:t>
      </w:r>
    </w:p>
    <w:p w14:paraId="11000000">
      <w:pPr>
        <w:ind w:firstLine="0" w:left="360"/>
        <w:jc w:val="both"/>
        <w:rPr>
          <w:sz w:val="28"/>
        </w:rPr>
      </w:pPr>
      <w:r>
        <w:rPr>
          <w:sz w:val="28"/>
        </w:rPr>
        <w:t>6. Контроль за исполнением данного постановления оставляю за собой.</w:t>
      </w:r>
    </w:p>
    <w:p w14:paraId="12000000">
      <w:pPr>
        <w:ind w:firstLine="0" w:left="360"/>
        <w:jc w:val="both"/>
        <w:rPr>
          <w:sz w:val="28"/>
        </w:rPr>
      </w:pPr>
    </w:p>
    <w:p w14:paraId="13000000">
      <w:pPr>
        <w:ind w:firstLine="0" w:left="360"/>
        <w:jc w:val="both"/>
        <w:rPr>
          <w:sz w:val="28"/>
        </w:rPr>
      </w:pPr>
    </w:p>
    <w:p w14:paraId="14000000">
      <w:pPr>
        <w:rPr>
          <w:sz w:val="28"/>
        </w:rPr>
      </w:pPr>
      <w:r>
        <w:rPr>
          <w:sz w:val="28"/>
        </w:rPr>
        <w:t>Глава  Ильинского сельсовета</w:t>
      </w:r>
    </w:p>
    <w:p w14:paraId="15000000">
      <w:pPr>
        <w:rPr>
          <w:sz w:val="28"/>
        </w:rPr>
      </w:pPr>
      <w:r>
        <w:rPr>
          <w:sz w:val="28"/>
        </w:rPr>
        <w:t xml:space="preserve">Доволенского района </w:t>
      </w:r>
    </w:p>
    <w:p w14:paraId="16000000">
      <w:pPr>
        <w:rPr>
          <w:sz w:val="28"/>
        </w:rPr>
      </w:pPr>
      <w:r>
        <w:rPr>
          <w:sz w:val="28"/>
        </w:rPr>
        <w:t xml:space="preserve">Новосибирской области                                                               </w:t>
      </w:r>
      <w:r>
        <w:rPr>
          <w:sz w:val="28"/>
        </w:rPr>
        <w:t>С.Н.ковинько</w:t>
      </w:r>
      <w:r>
        <w:rPr>
          <w:sz w:val="28"/>
        </w:rPr>
        <w:t xml:space="preserve"> </w:t>
      </w:r>
    </w:p>
    <w:p w14:paraId="17000000">
      <w:pPr>
        <w:rPr>
          <w:sz w:val="28"/>
        </w:rPr>
      </w:pPr>
    </w:p>
    <w:p w14:paraId="18000000">
      <w:pPr>
        <w:rPr>
          <w:sz w:val="28"/>
        </w:rPr>
      </w:pPr>
    </w:p>
    <w:p w14:paraId="19000000">
      <w:pPr>
        <w:rPr>
          <w:sz w:val="28"/>
        </w:rPr>
      </w:pPr>
    </w:p>
    <w:p w14:paraId="1A000000">
      <w:pPr>
        <w:rPr>
          <w:sz w:val="28"/>
        </w:rPr>
      </w:pPr>
    </w:p>
    <w:p w14:paraId="1B000000">
      <w:pPr>
        <w:rPr>
          <w:sz w:val="28"/>
        </w:rPr>
      </w:pPr>
    </w:p>
    <w:p w14:paraId="1C000000">
      <w:pPr>
        <w:rPr>
          <w:sz w:val="28"/>
        </w:rPr>
      </w:pPr>
    </w:p>
    <w:p w14:paraId="1D000000">
      <w:pPr>
        <w:rPr>
          <w:sz w:val="28"/>
        </w:rPr>
      </w:pPr>
    </w:p>
    <w:p w14:paraId="1E000000">
      <w:pPr>
        <w:rPr>
          <w:sz w:val="28"/>
        </w:rPr>
      </w:pPr>
    </w:p>
    <w:p w14:paraId="1F000000">
      <w:pPr>
        <w:rPr>
          <w:sz w:val="28"/>
        </w:rPr>
      </w:pPr>
    </w:p>
    <w:p w14:paraId="20000000">
      <w:pPr>
        <w:rPr>
          <w:sz w:val="28"/>
        </w:rPr>
      </w:pPr>
    </w:p>
    <w:p w14:paraId="21000000">
      <w:pPr>
        <w:rPr>
          <w:sz w:val="28"/>
        </w:rPr>
      </w:pPr>
    </w:p>
    <w:p w14:paraId="22000000">
      <w:pPr>
        <w:rPr>
          <w:sz w:val="28"/>
        </w:rPr>
      </w:pPr>
    </w:p>
    <w:p w14:paraId="23000000">
      <w:pPr>
        <w:rPr>
          <w:sz w:val="28"/>
        </w:rPr>
      </w:pPr>
    </w:p>
    <w:p w14:paraId="24000000">
      <w:pPr>
        <w:rPr>
          <w:sz w:val="28"/>
        </w:rPr>
      </w:pPr>
    </w:p>
    <w:p w14:paraId="25000000">
      <w:pPr>
        <w:sectPr>
          <w:pgSz w:h="16838" w:w="11906"/>
          <w:pgMar w:bottom="1134" w:footer="708" w:gutter="0" w:header="708" w:left="1701" w:right="850" w:top="1134"/>
        </w:sectPr>
      </w:pPr>
    </w:p>
    <w:p w14:paraId="26000000">
      <w:pPr>
        <w:ind/>
        <w:jc w:val="right"/>
        <w:rPr>
          <w:sz w:val="28"/>
        </w:rPr>
      </w:pPr>
      <w:r>
        <w:rPr>
          <w:sz w:val="28"/>
        </w:rPr>
        <w:t xml:space="preserve">Приложение 1 к постановлению </w:t>
      </w:r>
      <w:r>
        <w:rPr>
          <w:sz w:val="28"/>
        </w:rPr>
        <w:t>администрации</w:t>
      </w:r>
    </w:p>
    <w:p w14:paraId="27000000">
      <w:pPr>
        <w:ind/>
        <w:jc w:val="right"/>
        <w:rPr>
          <w:sz w:val="28"/>
        </w:rPr>
      </w:pPr>
      <w:r>
        <w:rPr>
          <w:sz w:val="28"/>
        </w:rPr>
        <w:t>Ильинского сельсовета Доволенского района</w:t>
      </w:r>
    </w:p>
    <w:p w14:paraId="28000000">
      <w:pPr>
        <w:ind/>
        <w:jc w:val="right"/>
        <w:rPr>
          <w:sz w:val="28"/>
        </w:rPr>
      </w:pPr>
      <w:r>
        <w:rPr>
          <w:sz w:val="28"/>
        </w:rPr>
        <w:t>Новосибирской области  от 25.03.2025 г. № 15</w:t>
      </w:r>
    </w:p>
    <w:p w14:paraId="29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Схема</w:t>
      </w:r>
    </w:p>
    <w:p w14:paraId="2A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размещения нестационарных торговых объектов</w:t>
      </w:r>
    </w:p>
    <w:p w14:paraId="2B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на территории администрации Ильинского сельсовета</w:t>
      </w:r>
    </w:p>
    <w:p w14:paraId="2C000000">
      <w:pPr>
        <w:ind/>
        <w:jc w:val="center"/>
        <w:rPr>
          <w:sz w:val="28"/>
        </w:rPr>
      </w:pPr>
      <w:r>
        <w:rPr>
          <w:rFonts w:ascii="Times New Roman" w:hAnsi="Times New Roman"/>
          <w:b w:val="1"/>
          <w:sz w:val="28"/>
        </w:rPr>
        <w:t xml:space="preserve"> Доволенского района Новосибирской области</w:t>
      </w:r>
    </w:p>
    <w:tbl>
      <w:tblPr>
        <w:tblStyle w:val="Style_2"/>
        <w:tblInd w:type="dxa" w:w="93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80"/>
        <w:gridCol w:w="2472"/>
        <w:gridCol w:w="1483"/>
        <w:gridCol w:w="1151"/>
        <w:gridCol w:w="1354"/>
        <w:gridCol w:w="1352"/>
        <w:gridCol w:w="2507"/>
        <w:gridCol w:w="2228"/>
        <w:gridCol w:w="1566"/>
      </w:tblGrid>
      <w:tr>
        <w:trPr>
          <w:trHeight w:hRule="atLeast" w:val="2310"/>
        </w:trPr>
        <w:tc>
          <w:tcPr>
            <w:tcW w:type="dxa" w:w="58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>п</w:t>
            </w:r>
          </w:p>
        </w:tc>
        <w:tc>
          <w:tcPr>
            <w:tcW w:type="dxa" w:w="2472"/>
            <w:tcBorders>
              <w:top w:color="000000" w:sz="4" w:val="single"/>
              <w:left w:sz="4" w:val="nil"/>
              <w:bottom w:sz="4" w:val="nil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Адресные ориентиры нестационарного торгового объекта (район, адрес)</w:t>
            </w:r>
          </w:p>
        </w:tc>
        <w:tc>
          <w:tcPr>
            <w:tcW w:type="dxa" w:w="1483"/>
            <w:tcBorders>
              <w:top w:color="000000" w:sz="4" w:val="single"/>
              <w:left w:sz="4" w:val="nil"/>
              <w:bottom w:sz="4" w:val="nil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00000">
            <w:pPr>
              <w:spacing w:after="240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Вид </w:t>
            </w:r>
            <w:r>
              <w:rPr>
                <w:sz w:val="24"/>
              </w:rPr>
              <w:br/>
            </w:r>
            <w:r>
              <w:rPr>
                <w:sz w:val="24"/>
              </w:rPr>
              <w:t>объекта</w:t>
            </w:r>
          </w:p>
        </w:tc>
        <w:tc>
          <w:tcPr>
            <w:tcW w:type="dxa" w:w="1151"/>
            <w:tcBorders>
              <w:top w:color="000000" w:sz="4" w:val="single"/>
              <w:left w:sz="4" w:val="nil"/>
              <w:bottom w:sz="4" w:val="nil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Количе-ство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не-стацио-нарных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торго-вых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объ-ектов</w:t>
            </w:r>
          </w:p>
        </w:tc>
        <w:tc>
          <w:tcPr>
            <w:tcW w:type="dxa" w:w="1354"/>
            <w:tcBorders>
              <w:top w:color="000000" w:sz="4" w:val="single"/>
              <w:left w:sz="4" w:val="nil"/>
              <w:bottom w:sz="4" w:val="nil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Площадь </w:t>
            </w:r>
            <w:r>
              <w:rPr>
                <w:sz w:val="24"/>
              </w:rPr>
              <w:t>земельно-го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участ-ка</w:t>
            </w:r>
            <w:r>
              <w:rPr>
                <w:sz w:val="24"/>
              </w:rPr>
              <w:t>, кв.м.</w:t>
            </w:r>
          </w:p>
        </w:tc>
        <w:tc>
          <w:tcPr>
            <w:tcW w:type="dxa" w:w="1352"/>
            <w:tcBorders>
              <w:top w:color="000000" w:sz="4" w:val="single"/>
              <w:left w:sz="4" w:val="nil"/>
              <w:bottom w:sz="4" w:val="nil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Площадь </w:t>
            </w:r>
            <w:r>
              <w:rPr>
                <w:sz w:val="24"/>
              </w:rPr>
              <w:t>нестацио-нарного</w:t>
            </w:r>
            <w:r>
              <w:rPr>
                <w:sz w:val="24"/>
              </w:rPr>
              <w:t xml:space="preserve"> торгового объекта, кв.м.</w:t>
            </w:r>
          </w:p>
        </w:tc>
        <w:tc>
          <w:tcPr>
            <w:tcW w:type="dxa" w:w="2507"/>
            <w:tcBorders>
              <w:top w:color="000000" w:sz="4" w:val="single"/>
              <w:left w:sz="4" w:val="nil"/>
              <w:bottom w:sz="4" w:val="nil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Специализация (</w:t>
            </w:r>
            <w:r>
              <w:rPr>
                <w:sz w:val="24"/>
              </w:rPr>
              <w:t>ассор-тимент</w:t>
            </w:r>
            <w:r>
              <w:rPr>
                <w:sz w:val="24"/>
              </w:rPr>
              <w:t xml:space="preserve"> реализуемой продукции)</w:t>
            </w:r>
          </w:p>
        </w:tc>
        <w:tc>
          <w:tcPr>
            <w:tcW w:type="dxa" w:w="2228"/>
            <w:tcBorders>
              <w:top w:color="000000" w:sz="4" w:val="single"/>
              <w:left w:sz="4" w:val="nil"/>
              <w:bottom w:sz="4" w:val="nil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Собственник земельного участка, на </w:t>
            </w:r>
            <w:r>
              <w:rPr>
                <w:sz w:val="24"/>
              </w:rPr>
              <w:t>ко-тором</w:t>
            </w:r>
            <w:r>
              <w:rPr>
                <w:sz w:val="24"/>
              </w:rPr>
              <w:t xml:space="preserve"> расположен нестационарный торговый объект</w:t>
            </w:r>
          </w:p>
        </w:tc>
        <w:tc>
          <w:tcPr>
            <w:tcW w:type="dxa" w:w="1566"/>
            <w:tcBorders>
              <w:top w:color="000000" w:sz="4" w:val="single"/>
              <w:left w:sz="4" w:val="nil"/>
              <w:bottom w:sz="4" w:val="nil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Период разрешения на </w:t>
            </w:r>
            <w:r>
              <w:rPr>
                <w:sz w:val="24"/>
              </w:rPr>
              <w:t>раз-мещение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неста-ционарного</w:t>
            </w:r>
            <w:r>
              <w:rPr>
                <w:sz w:val="24"/>
              </w:rPr>
              <w:t xml:space="preserve"> торгового объекта</w:t>
            </w:r>
          </w:p>
        </w:tc>
      </w:tr>
      <w:tr>
        <w:trPr>
          <w:trHeight w:hRule="atLeast" w:val="255"/>
        </w:trPr>
        <w:tc>
          <w:tcPr>
            <w:tcW w:type="dxa" w:w="14693"/>
            <w:gridSpan w:val="9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Муниципальное образование  </w:t>
            </w:r>
            <w:r>
              <w:rPr>
                <w:sz w:val="24"/>
              </w:rPr>
              <w:t>Ильинский</w:t>
            </w:r>
            <w:r>
              <w:rPr>
                <w:sz w:val="24"/>
              </w:rPr>
              <w:t xml:space="preserve"> сельсовет</w:t>
            </w:r>
          </w:p>
        </w:tc>
      </w:tr>
      <w:tr>
        <w:trPr>
          <w:trHeight w:hRule="atLeast" w:val="1905"/>
        </w:trPr>
        <w:tc>
          <w:tcPr>
            <w:tcW w:type="dxa" w:w="5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7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00000">
            <w:pPr>
              <w:rPr>
                <w:sz w:val="24"/>
              </w:rPr>
            </w:pPr>
            <w:r>
              <w:rPr>
                <w:sz w:val="24"/>
              </w:rPr>
              <w:t xml:space="preserve">НСО, Доволенский район,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. </w:t>
            </w:r>
            <w:r>
              <w:rPr>
                <w:sz w:val="24"/>
              </w:rPr>
              <w:t>Ильинка</w:t>
            </w:r>
            <w:r>
              <w:rPr>
                <w:sz w:val="24"/>
              </w:rPr>
              <w:t>,  10 м. от административного здания по ул. Ленина, 85</w:t>
            </w:r>
          </w:p>
        </w:tc>
        <w:tc>
          <w:tcPr>
            <w:tcW w:type="dxa" w:w="148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00000">
            <w:pPr>
              <w:rPr>
                <w:sz w:val="24"/>
              </w:rPr>
            </w:pPr>
            <w:r>
              <w:rPr>
                <w:sz w:val="24"/>
              </w:rPr>
              <w:t>Земельный участок для торговли</w:t>
            </w:r>
          </w:p>
        </w:tc>
        <w:tc>
          <w:tcPr>
            <w:tcW w:type="dxa" w:w="115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1354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</w:rPr>
              <w:t>0</w:t>
            </w:r>
          </w:p>
        </w:tc>
        <w:tc>
          <w:tcPr>
            <w:tcW w:type="dxa" w:w="135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</w:p>
        </w:tc>
        <w:tc>
          <w:tcPr>
            <w:tcW w:type="dxa" w:w="250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00000">
            <w:pPr>
              <w:rPr>
                <w:sz w:val="24"/>
              </w:rPr>
            </w:pPr>
            <w:r>
              <w:rPr>
                <w:sz w:val="24"/>
              </w:rPr>
              <w:t>Промышленные товары, фрукты,  саженцы, птица, лоточная торговля</w:t>
            </w:r>
          </w:p>
        </w:tc>
        <w:tc>
          <w:tcPr>
            <w:tcW w:type="dxa" w:w="2228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00000">
            <w:pPr>
              <w:rPr>
                <w:sz w:val="24"/>
              </w:rPr>
            </w:pPr>
            <w:r>
              <w:rPr>
                <w:sz w:val="24"/>
              </w:rPr>
              <w:t xml:space="preserve">Земельные участки, государственная,  </w:t>
            </w:r>
            <w:r>
              <w:rPr>
                <w:sz w:val="24"/>
              </w:rPr>
              <w:t>собственность</w:t>
            </w:r>
            <w:r>
              <w:rPr>
                <w:sz w:val="24"/>
              </w:rPr>
              <w:t xml:space="preserve"> на которую не разграничена</w:t>
            </w:r>
          </w:p>
        </w:tc>
        <w:tc>
          <w:tcPr>
            <w:tcW w:type="dxa" w:w="156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00000">
            <w:pPr>
              <w:rPr>
                <w:sz w:val="24"/>
              </w:rPr>
            </w:pPr>
            <w:r>
              <w:rPr>
                <w:sz w:val="24"/>
              </w:rPr>
              <w:t>весна, лето, осень</w:t>
            </w:r>
          </w:p>
        </w:tc>
      </w:tr>
      <w:tr>
        <w:trPr>
          <w:trHeight w:hRule="atLeast" w:val="1605"/>
        </w:trPr>
        <w:tc>
          <w:tcPr>
            <w:tcW w:type="dxa" w:w="58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247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00000">
            <w:pPr>
              <w:rPr>
                <w:sz w:val="24"/>
              </w:rPr>
            </w:pPr>
            <w:r>
              <w:rPr>
                <w:sz w:val="24"/>
              </w:rPr>
              <w:t>НСО, Доволенский район, п. Дружный,  10 м. от жилого дома по ул</w:t>
            </w:r>
            <w:r>
              <w:rPr>
                <w:sz w:val="24"/>
              </w:rPr>
              <w:t>.Ц</w:t>
            </w:r>
            <w:r>
              <w:rPr>
                <w:sz w:val="24"/>
              </w:rPr>
              <w:t>ентральная, 13</w:t>
            </w:r>
          </w:p>
        </w:tc>
        <w:tc>
          <w:tcPr>
            <w:tcW w:type="dxa" w:w="148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00000">
            <w:pPr>
              <w:rPr>
                <w:sz w:val="24"/>
              </w:rPr>
            </w:pPr>
            <w:r>
              <w:rPr>
                <w:sz w:val="24"/>
              </w:rPr>
              <w:t>Земельный участок для торговли</w:t>
            </w:r>
          </w:p>
        </w:tc>
        <w:tc>
          <w:tcPr>
            <w:tcW w:type="dxa" w:w="115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2</w:t>
            </w:r>
          </w:p>
        </w:tc>
        <w:tc>
          <w:tcPr>
            <w:tcW w:type="dxa" w:w="135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type="dxa" w:w="135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</w:p>
        </w:tc>
        <w:tc>
          <w:tcPr>
            <w:tcW w:type="dxa" w:w="25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00000">
            <w:pPr>
              <w:rPr>
                <w:sz w:val="24"/>
              </w:rPr>
            </w:pPr>
            <w:r>
              <w:rPr>
                <w:sz w:val="24"/>
              </w:rPr>
              <w:t>Промышленные товары, фрукты,  саженцы, птица, лоточная торговля</w:t>
            </w:r>
          </w:p>
        </w:tc>
        <w:tc>
          <w:tcPr>
            <w:tcW w:type="dxa" w:w="2228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00000">
            <w:pPr>
              <w:rPr>
                <w:sz w:val="24"/>
              </w:rPr>
            </w:pPr>
            <w:r>
              <w:rPr>
                <w:sz w:val="24"/>
              </w:rPr>
              <w:t xml:space="preserve">Земельные участки, государственная,  </w:t>
            </w:r>
            <w:r>
              <w:rPr>
                <w:sz w:val="24"/>
              </w:rPr>
              <w:t>собственность</w:t>
            </w:r>
            <w:r>
              <w:rPr>
                <w:sz w:val="24"/>
              </w:rPr>
              <w:t xml:space="preserve"> на которую не разграничена</w:t>
            </w:r>
          </w:p>
        </w:tc>
        <w:tc>
          <w:tcPr>
            <w:tcW w:type="dxa" w:w="156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00000">
            <w:pPr>
              <w:rPr>
                <w:sz w:val="24"/>
              </w:rPr>
            </w:pPr>
            <w:r>
              <w:rPr>
                <w:sz w:val="24"/>
              </w:rPr>
              <w:t>весна, лето, осень</w:t>
            </w:r>
          </w:p>
        </w:tc>
      </w:tr>
    </w:tbl>
    <w:p w14:paraId="49000000">
      <w:pPr>
        <w:ind/>
        <w:jc w:val="center"/>
        <w:rPr>
          <w:sz w:val="24"/>
        </w:rPr>
      </w:pPr>
    </w:p>
    <w:p w14:paraId="4A000000">
      <w:pPr>
        <w:ind/>
        <w:jc w:val="center"/>
        <w:rPr>
          <w:sz w:val="24"/>
        </w:rPr>
      </w:pPr>
    </w:p>
    <w:p w14:paraId="4B000000">
      <w:pPr>
        <w:ind/>
        <w:jc w:val="center"/>
        <w:rPr>
          <w:sz w:val="24"/>
        </w:rPr>
      </w:pPr>
    </w:p>
    <w:p w14:paraId="4C000000">
      <w:pPr>
        <w:ind/>
        <w:jc w:val="right"/>
      </w:pPr>
      <w:r>
        <w:t xml:space="preserve">Приложение 2 к схеме размещения </w:t>
      </w:r>
    </w:p>
    <w:p w14:paraId="4D000000">
      <w:pPr>
        <w:ind/>
        <w:jc w:val="right"/>
      </w:pPr>
      <w:r>
        <w:t>нестационарных торговых объектов</w:t>
      </w:r>
    </w:p>
    <w:p w14:paraId="4E000000">
      <w:pPr>
        <w:ind/>
        <w:jc w:val="right"/>
      </w:pPr>
      <w:r>
        <w:t xml:space="preserve"> на территории </w:t>
      </w:r>
      <w:r>
        <w:t>Ильинского</w:t>
      </w:r>
      <w:r>
        <w:t xml:space="preserve"> сельсовета</w:t>
      </w:r>
    </w:p>
    <w:p w14:paraId="4F000000">
      <w:pPr>
        <w:ind/>
        <w:jc w:val="right"/>
      </w:pPr>
      <w:r>
        <w:t>Доволенского</w:t>
      </w:r>
      <w:r>
        <w:t xml:space="preserve"> района </w:t>
      </w:r>
    </w:p>
    <w:p w14:paraId="50000000">
      <w:pPr>
        <w:ind/>
        <w:jc w:val="right"/>
      </w:pPr>
      <w:r>
        <w:t>Новосибирской области</w:t>
      </w:r>
    </w:p>
    <w:p w14:paraId="51000000">
      <w:pPr>
        <w:ind/>
        <w:jc w:val="center"/>
        <w:rPr>
          <w:sz w:val="28"/>
        </w:rPr>
      </w:pPr>
    </w:p>
    <w:p w14:paraId="52000000">
      <w:pPr>
        <w:ind/>
        <w:jc w:val="center"/>
        <w:rPr>
          <w:sz w:val="28"/>
        </w:rPr>
      </w:pPr>
      <w:r>
        <w:rPr>
          <w:sz w:val="28"/>
        </w:rPr>
        <w:t xml:space="preserve">Объект, предусмотренный схемой размещения нестационарных торговых объектов на территории </w:t>
      </w:r>
      <w:r>
        <w:rPr>
          <w:sz w:val="28"/>
        </w:rPr>
        <w:t>Ильинского сельсовета Доволенского</w:t>
      </w:r>
      <w:r>
        <w:rPr>
          <w:sz w:val="28"/>
        </w:rPr>
        <w:t xml:space="preserve"> района Новосибирской области в с.Ильинка</w:t>
      </w:r>
    </w:p>
    <w:p w14:paraId="53000000">
      <w:pPr>
        <w:ind/>
        <w:jc w:val="center"/>
        <w:rPr>
          <w:sz w:val="28"/>
        </w:rPr>
      </w:pPr>
      <w:r>
        <w:drawing>
          <wp:inline>
            <wp:extent cx="9227821" cy="4038600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9227821" cy="40386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4000000">
      <w:pPr>
        <w:ind/>
        <w:jc w:val="center"/>
        <w:rPr>
          <w:sz w:val="28"/>
        </w:rPr>
      </w:pPr>
    </w:p>
    <w:p w14:paraId="55000000">
      <w:pPr>
        <w:ind/>
        <w:jc w:val="right"/>
        <w:rPr>
          <w:sz w:val="24"/>
        </w:rPr>
      </w:pPr>
      <w:r>
        <w:rPr>
          <w:sz w:val="24"/>
        </w:rPr>
        <w:t>Условные обозначения:</w:t>
      </w:r>
    </w:p>
    <w:p w14:paraId="56000000">
      <w:pPr>
        <w:ind/>
        <w:jc w:val="right"/>
        <w:rPr>
          <w:sz w:val="24"/>
        </w:rPr>
      </w:pPr>
      <w:r>
        <w:rPr>
          <w:sz w:val="24"/>
        </w:rPr>
        <w:t>1 – торговая площадка</w:t>
      </w:r>
    </w:p>
    <w:p w14:paraId="57000000">
      <w:pPr>
        <w:ind/>
        <w:jc w:val="right"/>
      </w:pPr>
    </w:p>
    <w:p w14:paraId="58000000">
      <w:pPr>
        <w:ind/>
        <w:jc w:val="right"/>
      </w:pPr>
      <w:r>
        <w:t xml:space="preserve">Приложение 3 к схеме размещения </w:t>
      </w:r>
    </w:p>
    <w:p w14:paraId="59000000">
      <w:pPr>
        <w:ind/>
        <w:jc w:val="right"/>
      </w:pPr>
      <w:r>
        <w:t>нестационарных торговых объектов</w:t>
      </w:r>
    </w:p>
    <w:p w14:paraId="5A000000">
      <w:pPr>
        <w:ind/>
        <w:jc w:val="right"/>
      </w:pPr>
      <w:r>
        <w:t xml:space="preserve"> на территории Ильинского сельсовета</w:t>
      </w:r>
    </w:p>
    <w:p w14:paraId="5B000000">
      <w:pPr>
        <w:ind/>
        <w:jc w:val="right"/>
      </w:pPr>
      <w:r>
        <w:t xml:space="preserve">Доволенского района </w:t>
      </w:r>
    </w:p>
    <w:p w14:paraId="5C000000">
      <w:pPr>
        <w:ind/>
        <w:jc w:val="right"/>
      </w:pPr>
      <w:r>
        <w:t>Новосибирской области</w:t>
      </w:r>
    </w:p>
    <w:p w14:paraId="5D000000">
      <w:pPr>
        <w:ind/>
        <w:jc w:val="center"/>
        <w:rPr>
          <w:sz w:val="28"/>
        </w:rPr>
      </w:pPr>
    </w:p>
    <w:p w14:paraId="5E000000">
      <w:pPr>
        <w:ind/>
        <w:jc w:val="center"/>
        <w:rPr>
          <w:sz w:val="28"/>
        </w:rPr>
      </w:pPr>
      <w:r>
        <w:rPr>
          <w:sz w:val="28"/>
        </w:rPr>
        <w:t>Объект, предусмотренный схемой размещения нестационарных торговых объектов на территории Ильинского сельсовета Доволенского района Новосибирской области в пос.Дружный</w:t>
      </w:r>
    </w:p>
    <w:p w14:paraId="5F000000">
      <w:pPr>
        <w:ind/>
        <w:jc w:val="center"/>
        <w:rPr>
          <w:sz w:val="28"/>
        </w:rPr>
      </w:pPr>
    </w:p>
    <w:p w14:paraId="60000000">
      <w:pPr>
        <w:ind/>
        <w:jc w:val="center"/>
        <w:rPr>
          <w:sz w:val="24"/>
        </w:rPr>
      </w:pPr>
      <w:r>
        <w:drawing>
          <wp:inline>
            <wp:extent cx="8877301" cy="3855720"/>
            <wp:docPr id="4" name="Picture 4"/>
            <a:graphic>
              <a:graphicData uri="http://schemas.openxmlformats.org/drawingml/2006/picture">
                <pic:pic>
                  <pic:nvPicPr>
                    <pic:cNvPr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8877301" cy="38557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1000000">
      <w:pPr>
        <w:ind/>
        <w:jc w:val="right"/>
        <w:rPr>
          <w:sz w:val="24"/>
        </w:rPr>
      </w:pPr>
      <w:r>
        <w:rPr>
          <w:sz w:val="24"/>
        </w:rPr>
        <w:t>Условные обозначения:</w:t>
      </w:r>
    </w:p>
    <w:p w14:paraId="62000000">
      <w:pPr>
        <w:ind/>
        <w:jc w:val="right"/>
        <w:rPr>
          <w:sz w:val="24"/>
        </w:rPr>
      </w:pPr>
      <w:r>
        <w:rPr>
          <w:sz w:val="24"/>
        </w:rPr>
        <w:t>1 – торговая площадка</w:t>
      </w:r>
    </w:p>
    <w:sectPr>
      <w:pgSz w:h="11906" w:w="16838"/>
      <w:pgMar w:bottom="1701" w:footer="709" w:gutter="0" w:header="709" w:left="1134" w:right="1134" w:top="85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  <w:pPr>
      <w:spacing w:after="0" w:line="240" w:lineRule="auto"/>
      <w:ind/>
    </w:pPr>
    <w:rPr>
      <w:rFonts w:ascii="Times New Roman" w:hAnsi="Times New Roman"/>
      <w:sz w:val="20"/>
    </w:rPr>
  </w:style>
  <w:style w:default="1" w:styleId="Style_3_ch" w:type="character">
    <w:name w:val="Normal"/>
    <w:link w:val="Style_3"/>
    <w:rPr>
      <w:rFonts w:ascii="Times New Roman" w:hAnsi="Times New Roman"/>
      <w:sz w:val="20"/>
    </w:rPr>
  </w:style>
  <w:style w:styleId="Style_4" w:type="paragraph">
    <w:name w:val="toc 2"/>
    <w:next w:val="Style_3"/>
    <w:link w:val="Style_4_ch"/>
    <w:uiPriority w:val="39"/>
    <w:pPr>
      <w:ind w:firstLine="0" w:left="200"/>
    </w:pPr>
  </w:style>
  <w:style w:styleId="Style_4_ch" w:type="character">
    <w:name w:val="toc 2"/>
    <w:link w:val="Style_4"/>
  </w:style>
  <w:style w:styleId="Style_5" w:type="paragraph">
    <w:name w:val="toc 4"/>
    <w:next w:val="Style_3"/>
    <w:link w:val="Style_5_ch"/>
    <w:uiPriority w:val="39"/>
    <w:pPr>
      <w:ind w:firstLine="0" w:left="600"/>
    </w:pPr>
  </w:style>
  <w:style w:styleId="Style_5_ch" w:type="character">
    <w:name w:val="toc 4"/>
    <w:link w:val="Style_5"/>
  </w:style>
  <w:style w:styleId="Style_6" w:type="paragraph">
    <w:name w:val="toc 6"/>
    <w:next w:val="Style_3"/>
    <w:link w:val="Style_6_ch"/>
    <w:uiPriority w:val="39"/>
    <w:pPr>
      <w:ind w:firstLine="0" w:left="1000"/>
    </w:pPr>
  </w:style>
  <w:style w:styleId="Style_6_ch" w:type="character">
    <w:name w:val="toc 6"/>
    <w:link w:val="Style_6"/>
  </w:style>
  <w:style w:styleId="Style_7" w:type="paragraph">
    <w:name w:val="toc 7"/>
    <w:next w:val="Style_3"/>
    <w:link w:val="Style_7_ch"/>
    <w:uiPriority w:val="39"/>
    <w:pPr>
      <w:ind w:firstLine="0" w:left="1200"/>
    </w:pPr>
  </w:style>
  <w:style w:styleId="Style_7_ch" w:type="character">
    <w:name w:val="toc 7"/>
    <w:link w:val="Style_7"/>
  </w:style>
  <w:style w:styleId="Style_8" w:type="paragraph">
    <w:name w:val="heading 3"/>
    <w:next w:val="Style_3"/>
    <w:link w:val="Style_8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8_ch" w:type="character">
    <w:name w:val="heading 3"/>
    <w:link w:val="Style_8"/>
    <w:rPr>
      <w:rFonts w:ascii="XO Thames" w:hAnsi="XO Thames"/>
      <w:b w:val="1"/>
      <w:i w:val="1"/>
      <w:color w:val="000000"/>
    </w:rPr>
  </w:style>
  <w:style w:styleId="Style_9" w:type="paragraph">
    <w:name w:val="Знак"/>
    <w:basedOn w:val="Style_3"/>
    <w:link w:val="Style_9_ch"/>
    <w:pPr>
      <w:widowControl w:val="0"/>
      <w:spacing w:after="160" w:line="240" w:lineRule="exact"/>
      <w:ind/>
      <w:jc w:val="right"/>
    </w:pPr>
  </w:style>
  <w:style w:styleId="Style_9_ch" w:type="character">
    <w:name w:val="Знак"/>
    <w:basedOn w:val="Style_3_ch"/>
    <w:link w:val="Style_9"/>
  </w:style>
  <w:style w:styleId="Style_10" w:type="paragraph">
    <w:name w:val="No Spacing"/>
    <w:link w:val="Style_10_ch"/>
    <w:pPr>
      <w:spacing w:after="0" w:line="240" w:lineRule="auto"/>
      <w:ind/>
    </w:pPr>
    <w:rPr>
      <w:rFonts w:ascii="Calibri" w:hAnsi="Calibri"/>
    </w:rPr>
  </w:style>
  <w:style w:styleId="Style_10_ch" w:type="character">
    <w:name w:val="No Spacing"/>
    <w:link w:val="Style_10"/>
    <w:rPr>
      <w:rFonts w:ascii="Calibri" w:hAnsi="Calibri"/>
    </w:rPr>
  </w:style>
  <w:style w:styleId="Style_11" w:type="paragraph">
    <w:name w:val="Default Paragraph Font"/>
    <w:link w:val="Style_11_ch"/>
  </w:style>
  <w:style w:styleId="Style_11_ch" w:type="character">
    <w:name w:val="Default Paragraph Font"/>
    <w:link w:val="Style_11"/>
  </w:style>
  <w:style w:styleId="Style_12" w:type="paragraph">
    <w:name w:val="toc 3"/>
    <w:next w:val="Style_3"/>
    <w:link w:val="Style_12_ch"/>
    <w:uiPriority w:val="39"/>
    <w:pPr>
      <w:ind w:firstLine="0" w:left="400"/>
    </w:pPr>
  </w:style>
  <w:style w:styleId="Style_12_ch" w:type="character">
    <w:name w:val="toc 3"/>
    <w:link w:val="Style_12"/>
  </w:style>
  <w:style w:styleId="Style_13" w:type="paragraph">
    <w:name w:val="heading 5"/>
    <w:next w:val="Style_3"/>
    <w:link w:val="Style_13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3_ch" w:type="character">
    <w:name w:val="heading 5"/>
    <w:link w:val="Style_13"/>
    <w:rPr>
      <w:rFonts w:ascii="XO Thames" w:hAnsi="XO Thames"/>
      <w:b w:val="1"/>
      <w:color w:val="000000"/>
      <w:sz w:val="22"/>
    </w:rPr>
  </w:style>
  <w:style w:styleId="Style_1" w:type="paragraph">
    <w:name w:val="heading 1"/>
    <w:basedOn w:val="Style_3"/>
    <w:next w:val="Style_3"/>
    <w:link w:val="Style_1_ch"/>
    <w:uiPriority w:val="9"/>
    <w:qFormat/>
    <w:pPr>
      <w:keepNext w:val="1"/>
      <w:ind/>
      <w:outlineLvl w:val="0"/>
    </w:pPr>
    <w:rPr>
      <w:sz w:val="28"/>
    </w:rPr>
  </w:style>
  <w:style w:styleId="Style_1_ch" w:type="character">
    <w:name w:val="heading 1"/>
    <w:basedOn w:val="Style_3_ch"/>
    <w:link w:val="Style_1"/>
    <w:rPr>
      <w:sz w:val="28"/>
    </w:rPr>
  </w:style>
  <w:style w:styleId="Style_14" w:type="paragraph">
    <w:name w:val="Balloon Text"/>
    <w:basedOn w:val="Style_3"/>
    <w:link w:val="Style_14_ch"/>
    <w:rPr>
      <w:rFonts w:ascii="Tahoma" w:hAnsi="Tahoma"/>
      <w:sz w:val="16"/>
    </w:rPr>
  </w:style>
  <w:style w:styleId="Style_14_ch" w:type="character">
    <w:name w:val="Balloon Text"/>
    <w:basedOn w:val="Style_3_ch"/>
    <w:link w:val="Style_14"/>
    <w:rPr>
      <w:rFonts w:ascii="Tahoma" w:hAnsi="Tahoma"/>
      <w:sz w:val="16"/>
    </w:rPr>
  </w:style>
  <w:style w:styleId="Style_15" w:type="paragraph">
    <w:name w:val="Hyperlink"/>
    <w:link w:val="Style_15_ch"/>
    <w:rPr>
      <w:color w:val="0000FF"/>
      <w:u w:val="single"/>
    </w:rPr>
  </w:style>
  <w:style w:styleId="Style_15_ch" w:type="character">
    <w:name w:val="Hyperlink"/>
    <w:link w:val="Style_15"/>
    <w:rPr>
      <w:color w:val="0000FF"/>
      <w:u w:val="single"/>
    </w:rPr>
  </w:style>
  <w:style w:styleId="Style_16" w:type="paragraph">
    <w:name w:val="Footnote"/>
    <w:link w:val="Style_16_ch"/>
    <w:pPr>
      <w:ind/>
      <w:jc w:val="left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3"/>
    <w:link w:val="Style_17_ch"/>
    <w:uiPriority w:val="39"/>
    <w:pPr>
      <w:ind w:firstLine="0" w:left="0"/>
    </w:pPr>
    <w:rPr>
      <w:rFonts w:ascii="XO Thames" w:hAnsi="XO Thames"/>
      <w:b w:val="1"/>
    </w:rPr>
  </w:style>
  <w:style w:styleId="Style_17_ch" w:type="character">
    <w:name w:val="toc 1"/>
    <w:link w:val="Style_17"/>
    <w:rPr>
      <w:rFonts w:ascii="XO Thames" w:hAnsi="XO Thames"/>
      <w:b w:val="1"/>
    </w:rPr>
  </w:style>
  <w:style w:styleId="Style_18" w:type="paragraph">
    <w:name w:val="Header and Footer"/>
    <w:link w:val="Style_18_ch"/>
    <w:pPr>
      <w:spacing w:line="360" w:lineRule="auto"/>
      <w:ind/>
    </w:pPr>
    <w:rPr>
      <w:rFonts w:ascii="XO Thames" w:hAnsi="XO Thames"/>
      <w:sz w:val="20"/>
    </w:rPr>
  </w:style>
  <w:style w:styleId="Style_18_ch" w:type="character">
    <w:name w:val="Header and Footer"/>
    <w:link w:val="Style_18"/>
    <w:rPr>
      <w:rFonts w:ascii="XO Thames" w:hAnsi="XO Thames"/>
      <w:sz w:val="20"/>
    </w:rPr>
  </w:style>
  <w:style w:styleId="Style_19" w:type="paragraph">
    <w:name w:val="toc 9"/>
    <w:next w:val="Style_3"/>
    <w:link w:val="Style_19_ch"/>
    <w:uiPriority w:val="39"/>
    <w:pPr>
      <w:ind w:firstLine="0" w:left="1600"/>
    </w:pPr>
  </w:style>
  <w:style w:styleId="Style_19_ch" w:type="character">
    <w:name w:val="toc 9"/>
    <w:link w:val="Style_19"/>
  </w:style>
  <w:style w:styleId="Style_20" w:type="paragraph">
    <w:name w:val="toc 8"/>
    <w:next w:val="Style_3"/>
    <w:link w:val="Style_20_ch"/>
    <w:uiPriority w:val="39"/>
    <w:pPr>
      <w:ind w:firstLine="0" w:left="1400"/>
    </w:pPr>
  </w:style>
  <w:style w:styleId="Style_20_ch" w:type="character">
    <w:name w:val="toc 8"/>
    <w:link w:val="Style_20"/>
  </w:style>
  <w:style w:styleId="Style_21" w:type="paragraph">
    <w:name w:val="toc 5"/>
    <w:next w:val="Style_3"/>
    <w:link w:val="Style_21_ch"/>
    <w:uiPriority w:val="39"/>
    <w:pPr>
      <w:ind w:firstLine="0" w:left="800"/>
    </w:pPr>
  </w:style>
  <w:style w:styleId="Style_21_ch" w:type="character">
    <w:name w:val="toc 5"/>
    <w:link w:val="Style_21"/>
  </w:style>
  <w:style w:styleId="Style_22" w:type="paragraph">
    <w:name w:val="Subtitle"/>
    <w:next w:val="Style_3"/>
    <w:link w:val="Style_22_ch"/>
    <w:uiPriority w:val="11"/>
    <w:qFormat/>
    <w:rPr>
      <w:rFonts w:ascii="XO Thames" w:hAnsi="XO Thames"/>
      <w:i w:val="1"/>
      <w:color w:val="616161"/>
      <w:sz w:val="24"/>
    </w:rPr>
  </w:style>
  <w:style w:styleId="Style_22_ch" w:type="character">
    <w:name w:val="Subtitle"/>
    <w:link w:val="Style_22"/>
    <w:rPr>
      <w:rFonts w:ascii="XO Thames" w:hAnsi="XO Thames"/>
      <w:i w:val="1"/>
      <w:color w:val="616161"/>
      <w:sz w:val="24"/>
    </w:rPr>
  </w:style>
  <w:style w:styleId="Style_23" w:type="paragraph">
    <w:name w:val="toc 10"/>
    <w:next w:val="Style_3"/>
    <w:link w:val="Style_23_ch"/>
    <w:uiPriority w:val="39"/>
    <w:pPr>
      <w:ind w:firstLine="0" w:left="1800"/>
    </w:pPr>
  </w:style>
  <w:style w:styleId="Style_23_ch" w:type="character">
    <w:name w:val="toc 10"/>
    <w:link w:val="Style_23"/>
  </w:style>
  <w:style w:styleId="Style_24" w:type="paragraph">
    <w:name w:val="Title"/>
    <w:next w:val="Style_3"/>
    <w:link w:val="Style_24_ch"/>
    <w:uiPriority w:val="10"/>
    <w:qFormat/>
    <w:rPr>
      <w:rFonts w:ascii="XO Thames" w:hAnsi="XO Thames"/>
      <w:b w:val="1"/>
      <w:sz w:val="52"/>
    </w:rPr>
  </w:style>
  <w:style w:styleId="Style_24_ch" w:type="character">
    <w:name w:val="Title"/>
    <w:link w:val="Style_24"/>
    <w:rPr>
      <w:rFonts w:ascii="XO Thames" w:hAnsi="XO Thames"/>
      <w:b w:val="1"/>
      <w:sz w:val="52"/>
    </w:rPr>
  </w:style>
  <w:style w:styleId="Style_25" w:type="paragraph">
    <w:name w:val="heading 4"/>
    <w:next w:val="Style_3"/>
    <w:link w:val="Style_25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5_ch" w:type="character">
    <w:name w:val="heading 4"/>
    <w:link w:val="Style_25"/>
    <w:rPr>
      <w:rFonts w:ascii="XO Thames" w:hAnsi="XO Thames"/>
      <w:b w:val="1"/>
      <w:color w:val="595959"/>
      <w:sz w:val="26"/>
    </w:rPr>
  </w:style>
  <w:style w:styleId="Style_26" w:type="paragraph">
    <w:name w:val="heading 2"/>
    <w:next w:val="Style_3"/>
    <w:link w:val="Style_26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6_ch" w:type="character">
    <w:name w:val="heading 2"/>
    <w:link w:val="Style_26"/>
    <w:rPr>
      <w:rFonts w:ascii="XO Thames" w:hAnsi="XO Thames"/>
      <w:b w:val="1"/>
      <w:color w:val="00A0FF"/>
      <w:sz w:val="26"/>
    </w:r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5" Target="styles.xml" Type="http://schemas.openxmlformats.org/officeDocument/2006/relationships/styles"/>
  <Relationship Id="rId8" Target="theme/theme1.xml" Type="http://schemas.openxmlformats.org/officeDocument/2006/relationships/theme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Яркая">
      <a:dk1>
        <a:srgbClr val="000000"/>
      </a:dk1>
      <a:lt1>
        <a:srgbClr val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MyOffice-CoreFramework-Windows/22-903.417.5503.534.7@RELEASE-DESKTOP-SORREL_HOME-RC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2025-03-26T07:33:43Z</dcterms:modified>
</cp:coreProperties>
</file>