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2245" w:rsidRPr="004704F5" w:rsidRDefault="00882245" w:rsidP="004704F5">
      <w:pPr>
        <w:spacing w:after="0" w:line="240" w:lineRule="auto"/>
        <w:contextualSpacing/>
        <w:jc w:val="both"/>
        <w:rPr>
          <w:rFonts w:ascii="Times New Roman" w:hAnsi="Times New Roman"/>
          <w:sz w:val="28"/>
          <w:szCs w:val="28"/>
        </w:rPr>
      </w:pPr>
    </w:p>
    <w:p w:rsidR="00C629A9" w:rsidRPr="004704F5" w:rsidRDefault="00236AC6" w:rsidP="004704F5">
      <w:pPr>
        <w:spacing w:after="0" w:line="240" w:lineRule="auto"/>
        <w:contextualSpacing/>
        <w:jc w:val="center"/>
        <w:rPr>
          <w:rFonts w:ascii="Times New Roman" w:hAnsi="Times New Roman"/>
          <w:sz w:val="28"/>
          <w:szCs w:val="28"/>
        </w:rPr>
      </w:pPr>
      <w:bookmarkStart w:id="0" w:name="_GoBack"/>
      <w:bookmarkEnd w:id="0"/>
      <w:r>
        <w:rPr>
          <w:rFonts w:ascii="Times New Roman" w:hAnsi="Times New Roman"/>
          <w:sz w:val="28"/>
          <w:szCs w:val="28"/>
        </w:rPr>
        <w:t>О</w:t>
      </w:r>
      <w:r w:rsidR="00C629A9" w:rsidRPr="004704F5">
        <w:rPr>
          <w:rFonts w:ascii="Times New Roman" w:hAnsi="Times New Roman"/>
          <w:sz w:val="28"/>
          <w:szCs w:val="28"/>
        </w:rPr>
        <w:t>собенности проведения допроса несовершеннолетнего свидетеля</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зависимости от возраста, психического состояния несовершеннолетнего и обстоятельств дела при допросе присутствуют педагог, психолог или законный представитель несовершеннолетнего. По уголовным делам для допроса установлено сокращенное время в зависимости от возраста свидетеля, а также обязательное применение видеозаписи, если несовершеннолетний или его законный представитель не возражают.</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Несовершеннолетний может выступать в качестве свидетеля в административном, гражданском и уголовном судопроизводстве, а также по делам об административных правонарушениях (ст. 179 ГПК РФ; ст. 162 КАС РФ; ст. 56 УПК РФ; ст. 25.6 КоАП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 Особенности допроса несовершеннолетнего в административном и гражданском судопроизводстве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Свидетеля в возрасте до 14 лет, а по усмотрению суда и свидетеля в возрасте от 14 до 16 лет допрашивают с участием педагогического работника, который вызывается в суд.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случае необходимости вызываются также родители, усыновители, опекун или попечитель несовершеннолетнего свидетеля (по административным делам - при отсутствии у них заинтересованности в исходе дела).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исключительных случаях, если это необходимо для установления обстоятельств дела, на время допроса несовершеннолетнего свидетеля из зала судебного заседания на основании определения суда может быть удалено то или иное лицо, участвующее в деле, или может быть удален кто-либо из граждан, присутствующих в зале. Лицу, участвующему в деле, после возвращения в зал судебного заседания должна быть предоставлена возможность задать свидетелю вопросы.</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Свидетель, не достигший возраста 16 лет, по окончании его допроса удаляется из зала судебного заседания, за исключением случая, если суд признает необходимым присутствие этого свидетеля в зале судебного заседания (ст. 179 ГПК РФ; ст. 162 КАС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 Особенности опроса несовершеннолетнего по делам об административных правонарушениях</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(ч. 2 ст. 25.6 КоАП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При опросе несовершеннолетнего свидетеля, не достигшего возраста 14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 (ч. 4 ст. 25.6 КоАП РФ).</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Законными представителями несовершеннолетнего являются родители, усыновители, опекуны, попечители или иные лица (организации) (п. 1 ст. 64, ст. 123 СК РФ; п. 8 ч. 1 ст. 8, ч. 2, 3 ст. 15 Закона от 24.04.2008 N 48-ФЗ).</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 Особенности допроса несовершеннолетнего в уголовном судопроизводстве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Допрос несовершеннолетнего в уголовном процессе имеет ряд особенностей, связанных с возрастом несовершеннолетнего, порядком вызова на допрос, его длительностью и т.д.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3.1. Возраст, с которого можно допрашивать в качестве свидетеля</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Законом не установлено возрастных ограничений для свидетелей (ст. 56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На практике, с учетом возможности малолетних лиц правильно воспринимать важные для дела обстоятельства и воспроизводить их, минимальный возраст несовершеннолетнего свидетеля может начинаться от трех лет.</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3.2. Порядок вызова свидетеля на допрос</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 общему правилу свидетель вызывается на допрос повесткой, которая вручается под расписку или передается с помощью средств связи. В случае временного отсутствия вызываемого лица повестка вручается совершеннолетнему члену его семьи либо передается администрации по месту его работы или по поручению следователя иным лицам и организациям, которые обязаны передать повестку (ч. 1, 2 ст. 188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Лицо, не достигшее возраста 16 лет, вызывается на допрос через его законных представителей либо через администрацию по месту его учебы. Иной порядок вызова на допрос допускается лишь в случае, когда это вызвано обстоятельствами уголовного дела (ч. 4 ст. 188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Несовершеннолетние в возрасте до 14 лет не могут быть доставлены к следователю или в суд принудительно (ч. 2, 6 ст. 113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На практике также часто используется возможность проведения допроса в месте нахождения допрашиваемого, </w:t>
      </w:r>
      <w:proofErr w:type="gramStart"/>
      <w:r w:rsidRPr="004704F5">
        <w:rPr>
          <w:rFonts w:ascii="Times New Roman" w:hAnsi="Times New Roman"/>
          <w:sz w:val="28"/>
          <w:szCs w:val="28"/>
        </w:rPr>
        <w:t>например</w:t>
      </w:r>
      <w:proofErr w:type="gramEnd"/>
      <w:r w:rsidRPr="004704F5">
        <w:rPr>
          <w:rFonts w:ascii="Times New Roman" w:hAnsi="Times New Roman"/>
          <w:sz w:val="28"/>
          <w:szCs w:val="28"/>
        </w:rPr>
        <w:t xml:space="preserve"> в школе или дома (ч. 1 ст. 187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3.3. Присутствие иных лиц при допросе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проведении допроса с участием несовершеннолетнего, не достигшего возраста 16 лет, либо более старшего возраста, но страдающего психическим расстройством или отстающего в психическом развитии, обязательно участие педагога или психолога. При этом в делах о преступлениях против половой неприкосновенности несовершеннолетнего участие психолога обязательно. Для иных лиц старше 16 лет педагог или психолог приглашается по усмотрению следователя (ч. 1, 4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Также при проведении допроса вправе присутствовать законный представитель несовершеннолетнего свидетеля, однако следователь вправе не допустить его к участию, если это противоречит интересам несовершеннолетнего, при этом обеспечив участие в допросе другого законного представителя несовершеннолетнего свидетеля (п. 12 ст. 5, ч. 1, 3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По общему правилу законному представителю несовершеннолетнего свидетеля предоставляются, в частности, следующие права: заявлять </w:t>
      </w:r>
      <w:r w:rsidRPr="004704F5">
        <w:rPr>
          <w:rFonts w:ascii="Times New Roman" w:hAnsi="Times New Roman"/>
          <w:sz w:val="28"/>
          <w:szCs w:val="28"/>
        </w:rPr>
        <w:lastRenderedPageBreak/>
        <w:t>ходатайства (в том числе о применении мер безопасности), приносить жалобы на действия (бездействие) и решения дознавателя, следователя и иных уполномоченных лиц и органов (ч. 4 ст. 56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Равно как и совершеннолетние лица, свидетели, не достигшие 18-летнего возраста, вправе пользоваться помощью адвоката и переводчика (ст. ст. 49, 53, 59, ч. 5 ст. 189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3.4. Длительность допроса</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 общему правилу допрос не может длиться непрерывно более четырех часов, при этом для допроса несовершеннолетних установлено сокращенное время (ч. 2 ст. 187, ч. 1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 возрасте до 7 лет - не более 30 минут без перерыва, в общей сложности - не более часа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от 7 до 14 лет - не более часа без перерыва, в общей сложности - не более 2 часов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 возрасте старше 14 лет - не более 2 часов без перерыва, в общей сложности - не более 4 часов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3.5. Осуществление видеозаписи при допросе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Применение видеозаписи или киносъемки в ходе допроса несовершеннолетнего свидетеля является обязательным, за исключением случаев, если несовершеннолетний либо его законный представитель против этого возражает (ч. 5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3.6. Особенности допроса в судебном заседании</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допросе в судебном заседании свидетелей в возрасте до 14 лет, а по усмотрению суда и в возрасте от 14 до 18 лет, участвует педагог. Допрос несовершеннолетних потерпевших и свидетелей, имеющих физические или психические недостатки, проводится во всех случаях в присутствии педагога.</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При необходимости для участия в допросе несовершеннолетних вызываются также их законные представители, которые могут с разрешения председательствующего задавать вопросы допрашиваемому. Допрос свидетеля, не достигшего возраста 14 лет, проводится с обязательным участием его законного представителя (ч. 1, 4 ст. 280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Суд не вызывает несовершеннолетнего потерпевшего, свидетеля для допроса в судебном заседании и оглашает его показания, ранее данные при производстве предварительного расследования, если они были получены с применением видеозаписи или киносъемки, материалы которых хранятся при уголовном деле. Повторный допрос несовершеннолетнего возможен только на основании мотивированного решения суда (ч. 5 ст. 191, ч. 6 ст. 281 УПК РФ; п. 8.1 Постановления Пленума Верховного Суда РФ от 22.12.2009 N 28; п. 12 Постановления Пленума Верховного Суда РФ от 19.12.2017 N 51).</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Так же как на досудебной стадии, свидетели в возрасте до 16 лет не предупреждаются об ответственности за отказ от дачи показаний и за дачу заведомо ложных показаний, однако им разъясняется необходимость давать правдивые показания (ч. 2 ст. 191, ч. 5 ст. 280 УПК РФ).</w:t>
      </w:r>
    </w:p>
    <w:p w:rsid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p>
    <w:p w:rsidR="004704F5" w:rsidRDefault="004704F5" w:rsidP="00F620AE">
      <w:pPr>
        <w:spacing w:after="0" w:line="240" w:lineRule="auto"/>
        <w:contextualSpacing/>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C629A9" w:rsidRPr="004704F5">
        <w:rPr>
          <w:rFonts w:ascii="Times New Roman" w:hAnsi="Times New Roman"/>
          <w:sz w:val="28"/>
          <w:szCs w:val="28"/>
        </w:rPr>
        <w:t>Заместитель прокурора Русин М.Н.</w:t>
      </w:r>
    </w:p>
    <w:p w:rsidR="00C629A9" w:rsidRPr="004704F5" w:rsidRDefault="00C629A9"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 xml:space="preserve">Правила передвижения на </w:t>
      </w:r>
      <w:proofErr w:type="spellStart"/>
      <w:r w:rsidRPr="004704F5">
        <w:rPr>
          <w:rFonts w:ascii="Times New Roman" w:hAnsi="Times New Roman"/>
          <w:sz w:val="28"/>
          <w:szCs w:val="28"/>
        </w:rPr>
        <w:t>электросамокатах</w:t>
      </w:r>
      <w:proofErr w:type="spellEnd"/>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настоящее время лица, передвигающиеся на </w:t>
      </w:r>
      <w:proofErr w:type="spellStart"/>
      <w:r w:rsidRPr="004704F5">
        <w:rPr>
          <w:rFonts w:ascii="Times New Roman" w:hAnsi="Times New Roman"/>
          <w:sz w:val="28"/>
          <w:szCs w:val="28"/>
        </w:rPr>
        <w:t>электросамокатах</w:t>
      </w:r>
      <w:proofErr w:type="spellEnd"/>
      <w:r w:rsidRPr="004704F5">
        <w:rPr>
          <w:rFonts w:ascii="Times New Roman" w:hAnsi="Times New Roman"/>
          <w:sz w:val="28"/>
          <w:szCs w:val="28"/>
        </w:rPr>
        <w:t>, по общему правилу приравнены к пешеходам и должны соблюдать правила дорожного движения, установленные для пешеходов.</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Понятие </w:t>
      </w:r>
      <w:proofErr w:type="spellStart"/>
      <w:r w:rsidRPr="004704F5">
        <w:rPr>
          <w:rFonts w:ascii="Times New Roman" w:hAnsi="Times New Roman"/>
          <w:sz w:val="28"/>
          <w:szCs w:val="28"/>
        </w:rPr>
        <w:t>электросамоката</w:t>
      </w:r>
      <w:proofErr w:type="spellEnd"/>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Самокат представляет собой спортивное оборудование на роликах (колесах), имеющее, в частности, рулевую колонку, которое перемещается мышечной силой пользователя (разд. 1, 4 ГОСТ Р 58680-2019, утв. и введен в действие Приказом </w:t>
      </w:r>
      <w:proofErr w:type="spellStart"/>
      <w:r w:rsidRPr="004704F5">
        <w:rPr>
          <w:rFonts w:ascii="Times New Roman" w:hAnsi="Times New Roman"/>
          <w:sz w:val="28"/>
          <w:szCs w:val="28"/>
        </w:rPr>
        <w:t>Росстандарта</w:t>
      </w:r>
      <w:proofErr w:type="spellEnd"/>
      <w:r w:rsidRPr="004704F5">
        <w:rPr>
          <w:rFonts w:ascii="Times New Roman" w:hAnsi="Times New Roman"/>
          <w:sz w:val="28"/>
          <w:szCs w:val="28"/>
        </w:rPr>
        <w:t xml:space="preserve"> от 30.10.2019 N 1229-ст).</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Понятие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xml:space="preserve">" в законодательстве отсутствует. Однако, как правило, под </w:t>
      </w:r>
      <w:proofErr w:type="spellStart"/>
      <w:r w:rsidRPr="004704F5">
        <w:rPr>
          <w:rFonts w:ascii="Times New Roman" w:hAnsi="Times New Roman"/>
          <w:sz w:val="28"/>
          <w:szCs w:val="28"/>
        </w:rPr>
        <w:t>электросамокатом</w:t>
      </w:r>
      <w:proofErr w:type="spellEnd"/>
      <w:r w:rsidRPr="004704F5">
        <w:rPr>
          <w:rFonts w:ascii="Times New Roman" w:hAnsi="Times New Roman"/>
          <w:sz w:val="28"/>
          <w:szCs w:val="28"/>
        </w:rPr>
        <w:t xml:space="preserve"> понимается самокат, на котором установлены аккумулятор и электродвигатель, приводящий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xml:space="preserve"> в действие.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соответствии с действующим законодательством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не относятся к транспортным средствам. По общему правилу на них не распространяются, в частности, требования о государственной регистрации и необходимости получения права на управление ими (Примечание к ст. 12.1 КоАП РФ; Приложение N 1 к Техническому регламенту, утв. Решением Комиссии Таможенного союза от 09.12.2011 N 877; п. 1 ст. 25 Закона от 10.12.1995 N 196-ФЗ; ст. 1, п. 7 ст. 4 Закона от 03.08.2018 N 283-ФЗ).</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Правила передвижения на </w:t>
      </w:r>
      <w:proofErr w:type="spellStart"/>
      <w:r w:rsidRPr="004704F5">
        <w:rPr>
          <w:rFonts w:ascii="Times New Roman" w:hAnsi="Times New Roman"/>
          <w:sz w:val="28"/>
          <w:szCs w:val="28"/>
        </w:rPr>
        <w:t>электросамокате</w:t>
      </w:r>
      <w:proofErr w:type="spellEnd"/>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Ввиду того что в настоящее время в ПДД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не выделены в отдельную категорию участников движения, по общему правилу к ним применяются требования, предъявляемые к пешеходам.</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Справка. Пешеход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Пешеходом является лицо, находящееся вне транспортного средства на дороге либо на пешеходной или </w:t>
      </w:r>
      <w:proofErr w:type="spellStart"/>
      <w:r w:rsidRPr="004704F5">
        <w:rPr>
          <w:rFonts w:ascii="Times New Roman" w:hAnsi="Times New Roman"/>
          <w:sz w:val="28"/>
          <w:szCs w:val="28"/>
        </w:rPr>
        <w:t>велопешеходной</w:t>
      </w:r>
      <w:proofErr w:type="spellEnd"/>
      <w:r w:rsidRPr="004704F5">
        <w:rPr>
          <w:rFonts w:ascii="Times New Roman" w:hAnsi="Times New Roman"/>
          <w:sz w:val="28"/>
          <w:szCs w:val="28"/>
        </w:rPr>
        <w:t xml:space="preserve"> дорожке и не производящее на них работу. К пешеходам приравниваются лица, передвигающиеся в инвалидных колясках, ведущие велосипед, мопед, мотоцикл, везущие санки, тележку, детскую или инвалидную коляску, а также использующие для передвижения роликовые коньки, самокаты и иные аналогичные средства (п. 1.2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Таким образом, на </w:t>
      </w:r>
      <w:proofErr w:type="spellStart"/>
      <w:r w:rsidRPr="004704F5">
        <w:rPr>
          <w:rFonts w:ascii="Times New Roman" w:hAnsi="Times New Roman"/>
          <w:sz w:val="28"/>
          <w:szCs w:val="28"/>
        </w:rPr>
        <w:t>электросамокатах</w:t>
      </w:r>
      <w:proofErr w:type="spellEnd"/>
      <w:r w:rsidRPr="004704F5">
        <w:rPr>
          <w:rFonts w:ascii="Times New Roman" w:hAnsi="Times New Roman"/>
          <w:sz w:val="28"/>
          <w:szCs w:val="28"/>
        </w:rPr>
        <w:t xml:space="preserve"> разрешено передвигаться, в частности, по тротуарам, пешеходным и </w:t>
      </w:r>
      <w:proofErr w:type="spellStart"/>
      <w:r w:rsidRPr="004704F5">
        <w:rPr>
          <w:rFonts w:ascii="Times New Roman" w:hAnsi="Times New Roman"/>
          <w:sz w:val="28"/>
          <w:szCs w:val="28"/>
        </w:rPr>
        <w:t>велопешеходным</w:t>
      </w:r>
      <w:proofErr w:type="spellEnd"/>
      <w:r w:rsidRPr="004704F5">
        <w:rPr>
          <w:rFonts w:ascii="Times New Roman" w:hAnsi="Times New Roman"/>
          <w:sz w:val="28"/>
          <w:szCs w:val="28"/>
        </w:rPr>
        <w:t xml:space="preserve"> дорожкам, а при их отсутствии - по обочинам.</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 отсутствии тротуаров, пешеходных и </w:t>
      </w:r>
      <w:proofErr w:type="spellStart"/>
      <w:r w:rsidRPr="004704F5">
        <w:rPr>
          <w:rFonts w:ascii="Times New Roman" w:hAnsi="Times New Roman"/>
          <w:sz w:val="28"/>
          <w:szCs w:val="28"/>
        </w:rPr>
        <w:t>велопешеходных</w:t>
      </w:r>
      <w:proofErr w:type="spellEnd"/>
      <w:r w:rsidRPr="004704F5">
        <w:rPr>
          <w:rFonts w:ascii="Times New Roman" w:hAnsi="Times New Roman"/>
          <w:sz w:val="28"/>
          <w:szCs w:val="28"/>
        </w:rPr>
        <w:t xml:space="preserve"> дорожек или обочин, а также в случае невозможности двигаться по ним на </w:t>
      </w:r>
      <w:proofErr w:type="spellStart"/>
      <w:r w:rsidRPr="004704F5">
        <w:rPr>
          <w:rFonts w:ascii="Times New Roman" w:hAnsi="Times New Roman"/>
          <w:sz w:val="28"/>
          <w:szCs w:val="28"/>
        </w:rPr>
        <w:t>электросамокате</w:t>
      </w:r>
      <w:proofErr w:type="spellEnd"/>
      <w:r w:rsidRPr="004704F5">
        <w:rPr>
          <w:rFonts w:ascii="Times New Roman" w:hAnsi="Times New Roman"/>
          <w:sz w:val="28"/>
          <w:szCs w:val="28"/>
        </w:rPr>
        <w:t xml:space="preserve"> можно передвигаться по велосипедной дорожке или в один ряд по краю проезжей части (на дорогах с разделительной полосой - по внешнему краю проезжей части) (п. 4.1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случае нарушения ПДД лицо, использующее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может быть привлечено к соответствующей административной ответственности (ст. ст. 12.29, 12.30 КоАП РФ; п. 1.6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Следует также учитывать существование позиции, согласно которой при соответствии характеристик </w:t>
      </w:r>
      <w:proofErr w:type="spellStart"/>
      <w:r w:rsidRPr="004704F5">
        <w:rPr>
          <w:rFonts w:ascii="Times New Roman" w:hAnsi="Times New Roman"/>
          <w:sz w:val="28"/>
          <w:szCs w:val="28"/>
        </w:rPr>
        <w:t>электросамоката</w:t>
      </w:r>
      <w:proofErr w:type="spellEnd"/>
      <w:r w:rsidRPr="004704F5">
        <w:rPr>
          <w:rFonts w:ascii="Times New Roman" w:hAnsi="Times New Roman"/>
          <w:sz w:val="28"/>
          <w:szCs w:val="28"/>
        </w:rPr>
        <w:t xml:space="preserve"> характеристикам мопеда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могут быть отнесены к мопедам. В указанной ситуации </w:t>
      </w:r>
      <w:proofErr w:type="spellStart"/>
      <w:r w:rsidRPr="004704F5">
        <w:rPr>
          <w:rFonts w:ascii="Times New Roman" w:hAnsi="Times New Roman"/>
          <w:sz w:val="28"/>
          <w:szCs w:val="28"/>
        </w:rPr>
        <w:lastRenderedPageBreak/>
        <w:t>электросамокат</w:t>
      </w:r>
      <w:proofErr w:type="spellEnd"/>
      <w:r w:rsidRPr="004704F5">
        <w:rPr>
          <w:rFonts w:ascii="Times New Roman" w:hAnsi="Times New Roman"/>
          <w:sz w:val="28"/>
          <w:szCs w:val="28"/>
        </w:rPr>
        <w:t xml:space="preserve"> считается транспортным средством, на лицо на </w:t>
      </w:r>
      <w:proofErr w:type="spellStart"/>
      <w:r w:rsidRPr="004704F5">
        <w:rPr>
          <w:rFonts w:ascii="Times New Roman" w:hAnsi="Times New Roman"/>
          <w:sz w:val="28"/>
          <w:szCs w:val="28"/>
        </w:rPr>
        <w:t>электросамокате</w:t>
      </w:r>
      <w:proofErr w:type="spellEnd"/>
      <w:r w:rsidRPr="004704F5">
        <w:rPr>
          <w:rFonts w:ascii="Times New Roman" w:hAnsi="Times New Roman"/>
          <w:sz w:val="28"/>
          <w:szCs w:val="28"/>
        </w:rPr>
        <w:t xml:space="preserve"> распространяются ПДД, установленные для передвижения на мопедах. В случае нарушения ПДД гражданин может быть привлечен к соответствующей административной ответственности (Примечание к ст. 12.1 КоАП РФ; п. п. 1.2, 1.6 ПДД; п. 1 ст. 25 Закона N 196-ФЗ; п. 2 Постановления Пленума Верховного Суда РФ от 25.06.2019 N 20; Постановление Московского городского суда от 29.11.2019 N 4а-7610/2019).</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Мопедом признается двух- или трехколесное механическое транспортное средство, максимальная конструктивная скорость которого не превышает 50 км/ч, имеющее двигатель внутреннего сгорания с рабочим объемом, не превышающим 50 куб. см, или электродвигатель номинальной максимальной мощностью в режиме длительной нагрузки более 0,25 кВт и менее 4 кВт. К мопедам приравниваются </w:t>
      </w:r>
      <w:proofErr w:type="spellStart"/>
      <w:r w:rsidRPr="004704F5">
        <w:rPr>
          <w:rFonts w:ascii="Times New Roman" w:hAnsi="Times New Roman"/>
          <w:sz w:val="28"/>
          <w:szCs w:val="28"/>
        </w:rPr>
        <w:t>квадрициклы</w:t>
      </w:r>
      <w:proofErr w:type="spellEnd"/>
      <w:r w:rsidRPr="004704F5">
        <w:rPr>
          <w:rFonts w:ascii="Times New Roman" w:hAnsi="Times New Roman"/>
          <w:sz w:val="28"/>
          <w:szCs w:val="28"/>
        </w:rPr>
        <w:t>, имеющие аналогичные технические характеристики (п. 1.2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настоящее время рассматривается проект изменений в ПДД, согласно которому должен быть установлен статус участников дорожного движения, использующих средства индивидуальной мобильности, в том числе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а также правила их передвижения.</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Заместитель прокурора Русин М.Н.</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Default="00C629A9"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r>
      <w:r w:rsidRPr="004704F5">
        <w:rPr>
          <w:rFonts w:ascii="Times New Roman" w:hAnsi="Times New Roman"/>
          <w:sz w:val="28"/>
          <w:szCs w:val="28"/>
        </w:rPr>
        <w:tab/>
        <w:t>Можно ли учителям и врачам принимать подарки?</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Учителя и врачи могут принимать обычные подарки стоимостью не более 3 000 руб.</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Понятие подарка законодательно не определено. При этом из определения договора дарения следует, что подарок - это прежде всего вещь или имущественное право, которые даритель безвозмездно передает одаряемому в собственность. Если имеет место встречное обязательство, то такая передача вещи (права) дарением не признается (п. 1 ст. 572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Работникам образовательных и медицинских организаций, в том числе учителям и врачам, запрещается получать подарки от обучающихся и пациентов, а также их родственников, за исключением обычных подарков, стоимость которых не превышает 3 000 руб.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2 п. 1 ст. 575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Получение учителем или врачом подарка стоимостью свыше 3 000 руб. от ученика (пациента) или его родственника является нарушением запрета и ставит под сомнение объективность принимаемых им решений.</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этой связи для обоснования законности получения подарка рекомендуется сохранить документ, подтверждающий его стоимость, например чек.</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Под обычными подарками, как правило, понимаются те виды подарков, которые обычно дарят учителям либо врачам. Таким подарками могут быть цветы, конфеты, чай, кофе, канцелярские принадлежности, книги.</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Учитель либо врач вправе в любое время до передачи ему подарка отказаться от него, в том числе в случае, если возникают сомнения по поводу его стоимости или вида (п. 1 ст. 573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нарушение ограничений, связанных с получением подарков, учитель либо врач может быть привлечен к дисциплинарной ответственности (замечание, выговор, увольнение) (ч. 1 ст. 22, ст. ст. 81, 192 ТК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Также учителя и врачи могут быть привлечены к уголовной ответственности за получение взятки при наличии в их действиях (бездействии) состава преступления. Вместе с тем судебная практика свидетельствует о том, что уголовная ответственность не предусмотрена в связи с получением взятки должностным лицом за совершение действий (бездействие), хотя и связанных с исполнением его профессиональных обязанностей, но при этом не относящихся к полномочиям представителя власти, организационно-распорядительным либо административно-хозяйственным функциям (ст. 290 УК РФ; Определение Конституционного Суда РФ от 28.06.2018 N 1469-О; п. 7 Постановления Пленума Верховного Суда РФ от 09.07.2013 N 24).</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Заместитель прокурора Русин М.Н.</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Default="00C629A9"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Права и обязанности участкового уполномоченного полиции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Участковый принимает участие в обеспечении правопорядка в общественных местах, безопасности дорожного движения, розыске преступников и т.д. Кроме того, он уполномочен проводить профилактический обход жилых помещений, в том числе с правом в отдельных случаях проникать в жилища граждан помимо их воли.</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участковым уполномоченным полиции приказом начальника территориального органа МВД России на районном уровне закрепляется определенный административный участок (п. 3 Инструкции, утв. Приказом МВД России от 29.03.2019 N 205).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Деятельность участкового достаточно обширна и направлена в том числе (п. 9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на предупреждение и пресечение преступлений и иных правонарушений;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выявление и раскрытие преступлений;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производство по делам об административных правонарушениях;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прием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этом участковый, в частности, принимает участие в следующих мероприятиях (п. 10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предупреждение безнадзорности, беспризорности, правонарушений и антиобщественных действий несовершеннолетних;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розыск лиц, не прибывших к месту осуществления административного надзора либо самовольно оставивших его;</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контроль за обеспечением условий хранения (сохранностью) гражданского, служебного, боевого и наградного оружия, боеприпасов, патронов к оружию, находящихся в собственности или во временном пользовании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раскрытие преступлений;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осуществление надзора в области безопасности дорожного движения.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Наиболее вероятной причиной появления участкового на вашем пороге является профилактический обход своего административного участка. Такой обход включает в том числе ознакомление с жильцами квартир (жилых домов, комнат) (п. п. 23, 24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Участковый не вправе проникать в жилые помещения помимо воли проживающих в них граждан, за исключением ряда случаев, предусмотренных законом (ч. 2 ст. 15 Закона от 07.02.2011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исключительных случаях, не терпящих отлагательства, сотрудники полиции могут, в частности (ч. 5 ст. 165 УПК РФ; ч. 2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осмотреть жилище, обыскать его и изъять искомые предметы на основании постановления следователя или дознавателя без получения судебного решения;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проникнуть в жилище в случаях, которые могут привести к совершению тяжкого или особо тяжкого преступления, на основании мотивированного постановления одного из руководителей органа, осуществляющего оперативно-розыскную деятельность.</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Кроме того, сотрудники полиции вправе проникнуть в жилое помещение без согласия жильцов в следующих случаях (ч. 3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спасения жизни граждан и (или) их имущества, обеспечения безопасности граждан или общественной безопасности при массовых беспорядках и чрезвычайных ситуациях;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задержания лиц, подозреваемых или обвиняемых в совершении преступления, а также лиц, застигнутых на месте совершения ими деяния, содержащего признаки преступления, и (или) скрывающихся с места совершения ими такого деяния, и (или) лиц, на которых потерпевшие или очевидцы указывают как на совершивших деяние, содержащее признаки преступления;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пресечения преступления;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установления обстоятельств несчастного случая.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проникновении в жилые помещения в указанных случаях сотрудник полиции вправе при необходимости взломать (разрушить) запирающее устройство, элементы и конструкции, препятствующие проникновению в указанные помещения (ч. 4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В остальных случаях сотрудники полиции вправе осмотреть квартиру (жилой дом, комнату) только с согласия проживающих в нем лиц или на основании судебного решения, а обыскать жилище и изъять искомые предметы - только на основании судебного решения (ст. 12 УПК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проникновении в жилище сотрудник полиции обязан (ч. 5, 6, 7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перед тем как войти в жилое помещение, уведомить находящихся там граждан об основаниях вхождения, за исключением случаев, когда промедление создает непосредственную угрозу жизни и здоровью граждан и сотрудников полиции или может повлечь иные тяжкие последствия;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при проникновении в жилое помещение помимо воли находящихся там граждан использовать безопасные способы и средства, с уважением относиться к чести, достоинству, жизни и здоровью граждан, не допускать без необходимости причинения ущерба их имуществу;</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не разглашать ставшие известными ему в связи с проникновением в жилое помещение факты частной жизни находящихся там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проинформировать не позднее 24 часов с момента проникновения в жилище в установленном порядке собственника и (или) проживающих там граждан (если проникновение осуществлено в их отсутствие), а также письменно уведомить прокурора о проникновении в жилище против воли находящихся в нем граждан (если федеральным законом не установлен специальный порядок уведомления).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Также необходимо отметить, что осмотр жилого помещения, обыск или выемка в ночное время (с 22 до 6 часов) не допускается, за исключением случаев, не терпящих отлагательства (п. 21 ст. 5, ч. 3 ст. 164 УПК РФ).</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Ответственность за вождение транспортных средств в состоянии опьянения</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управление транспортным средством в состоянии опьянения предусмотрена административная и уголовная ответственность: лишение водительских прав, административный штраф, административный арест, принудительные работы, лишение свободы и т.д.</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Установление состояния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случае выявления у водителя признаков опьянения он отстраняется от управления автомобилем и направляется на освидетельствование на состояние алкогольного опьянения и медицинское освидетельствование на состояние опьянения (п. 2.3.2 ПДД РФ; п. 223 Административного регламента МВД России, утв. Приказом МВД России от 23.08.2017 N 664, ч. 1 ст. 27.12 КоАП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Установление состояния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Под состоянием опьянения понимается алкогольное опьянение водителя, а также наличие в его организме наркотических и психотропных веществ.</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настоящее время алкогольное опьянение устанавливается с помощью специальных приборов - газоанализаторов (</w:t>
      </w:r>
      <w:proofErr w:type="spellStart"/>
      <w:r w:rsidRPr="004704F5">
        <w:rPr>
          <w:rFonts w:ascii="Times New Roman" w:hAnsi="Times New Roman"/>
          <w:sz w:val="28"/>
          <w:szCs w:val="28"/>
        </w:rPr>
        <w:t>алкотестеров</w:t>
      </w:r>
      <w:proofErr w:type="spellEnd"/>
      <w:r w:rsidRPr="004704F5">
        <w:rPr>
          <w:rFonts w:ascii="Times New Roman" w:hAnsi="Times New Roman"/>
          <w:sz w:val="28"/>
          <w:szCs w:val="28"/>
        </w:rPr>
        <w:t>) путем исследования выдыхаемого водителем воздуха на наличие в нем паров этилового спирта, а наркотическое и психотропное опьянение - путем проведения химико-токсикологического исследования биологической жидкости (урины) водителя. Проводить исследования на установление состояния наркотического опьянения вправе только специализированные врачи, имеющие соответствующее разрешение, в специальных лицензированных медицинских учреждениях. Также проводить такие исследования вправе сотрудники полиции (инспекторы ГИБДД). Причем для проведения исследований закон устанавливает обязательные основания - визуальное наличие у водителя хотя бы одного из признаков опьянения. Этих признаков всего пять: запах алкоголя изо рта, неустойчивость позы, нарушение речи, резкое изменение окраски кожных покровов лица, поведение, не соответствующее обстановке (п. 3 Правил освидетельствования, утв. Постановлением Правительства РФ от 26.06.2008 N 475).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Промилле используются в том числе для измерения содержания концентрации этилового спирта при установлении состояния опьянения водителя. При этом законодательством установлено понятие минимально допустимых промилле. Так, ответственность за вождение в состоянии опьянения и связанные с этим нарушения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психотропных веществ или их аналогов либо новых потенциально опасных </w:t>
      </w:r>
      <w:proofErr w:type="spellStart"/>
      <w:r w:rsidRPr="004704F5">
        <w:rPr>
          <w:rFonts w:ascii="Times New Roman" w:hAnsi="Times New Roman"/>
          <w:sz w:val="28"/>
          <w:szCs w:val="28"/>
        </w:rPr>
        <w:t>психоактивных</w:t>
      </w:r>
      <w:proofErr w:type="spellEnd"/>
      <w:r w:rsidRPr="004704F5">
        <w:rPr>
          <w:rFonts w:ascii="Times New Roman" w:hAnsi="Times New Roman"/>
          <w:sz w:val="28"/>
          <w:szCs w:val="28"/>
        </w:rPr>
        <w:t xml:space="preserve"> веществ в организме человека (ст. 12.8 КоАП РФ; п. 2 Примечания к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Требование о минимально допустимых промилле распространяется на преступления с 1 июля 2015 г.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"з" п. 1 ст. 1, ст. 5 Закона от 31.12.2014 N 528-ФЗ).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этом если вождение имеет признаки преступления (причинение тяжкого вреда здоровью или смерть человека), водитель признается лицом, находящимся в состоянии опьянения, если он отказался от прохождения медицинского освидетельствования, направление на такое освидетельствование осуществлялось в соответствии с установленными правилами и отказ зафиксирован в протоколе о направлении на освидетельствование либо в акте медицинского освидетельствования (п. 2 Примечания к ст. 264 УК РФ; п. 10.2 Постановления Пленума Верховного Суда РФ от 09.12.2008 N 25).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установлении состояния опьянения инспектор ГИБДД составляет протокол, который вместе с другими процессуальными документами по делу (актом освидетельствования, объяснениями, иными протоколами и др.) направляет судье для рассмотрения административного дела, поскольку по таким правонарушениям постановление выносит только судья (п. 2.7 ПДД РФ; ст. 23.1, ч. 3 - 5, 7 ст. 27.12 КоАП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Если в ходе рассмотрения дела в действиях (бездействии) лица будут установлены признаки состава преступления, судья выносит постановление о прекращении производства по делу об административном правонарушении и передает материалы дела прокурору, в орган предварительного следствия или в орган дознания (п. 3 ч. 1.1 ст. 29.9 КоАП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наказаний за вождение в состоянии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Действующее законодательство предусматривает несколько видов административных и уголовных наказаний за управление автомобилем в состоянии опьянения и возникновение связанных с состоянием опьянения ситуаций.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административных наказаний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w:t>
      </w:r>
      <w:r w:rsidRPr="004704F5">
        <w:rPr>
          <w:rFonts w:ascii="Times New Roman" w:hAnsi="Times New Roman"/>
          <w:sz w:val="28"/>
          <w:szCs w:val="28"/>
        </w:rPr>
        <w:tab/>
        <w:t>Лишение водительских прав и административный штраф.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Управление в состоянии опьянения (в том числе лицом, которое после истечения срока ранее назначенного лишения права управления транспортными средствами не выполнило условия, необходимые для возврата сданного водительского удостоверения), передача управления лицу, находящемуся в состоянии опьянения, отказ от освидетельствования на состояние опьянения, если такие действия не содержат уголовно наказуемого деяния, могут повлечь лишение права управления автомобилем на срок от полутора до двух лет, а также взыскание административного штрафа в размере 30 000 руб. (ч. 1, 2 ст. 12.8, ч. 1 ст. 12.26 КоАП РФ; п. 47 Обзора судебной практики, утв. Президиумом Верховного Суда РФ 30.06.2021).</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отношении данных правонарушений не действует правило о допустимости уменьшения размера штрафа в случае его уплаты не позднее 20 дней со дня вынесения постановления о наложении штрафа (ч. 1.3 ст. 32.2 КоАП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w:t>
      </w:r>
      <w:r w:rsidRPr="004704F5">
        <w:rPr>
          <w:rFonts w:ascii="Times New Roman" w:hAnsi="Times New Roman"/>
          <w:sz w:val="28"/>
          <w:szCs w:val="28"/>
        </w:rPr>
        <w:tab/>
        <w:t>Административный арест или административный штраф.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 xml:space="preserve">Административным арестом на срок от 10 до 15 суток будет наказан водитель, действия которого не содержат уголовно наказуемого деяния и </w:t>
      </w:r>
      <w:proofErr w:type="gramStart"/>
      <w:r w:rsidRPr="004704F5">
        <w:rPr>
          <w:rFonts w:ascii="Times New Roman" w:hAnsi="Times New Roman"/>
          <w:sz w:val="28"/>
          <w:szCs w:val="28"/>
        </w:rPr>
        <w:t>в отношении</w:t>
      </w:r>
      <w:proofErr w:type="gramEnd"/>
      <w:r w:rsidRPr="004704F5">
        <w:rPr>
          <w:rFonts w:ascii="Times New Roman" w:hAnsi="Times New Roman"/>
          <w:sz w:val="28"/>
          <w:szCs w:val="28"/>
        </w:rPr>
        <w:t xml:space="preserve"> которого установлено состояние опьянения либо который отказался от освидетельствования на состояние опьянения, если он вообще не имеет водительских прав либо временно их лишен.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Исключение составляют лица, к которым не может быть применен административный арест. Это, в частности, беременные женщины, женщины, имеющие детей в возрасте до 14 лет, лица, не достигшие возраста 18 лет, инвалиды I и II групп, военнослужащие, граждане, призванные на военные сборы, а также имеющие специальные звания сотрудники органов внутренних дел, органов и учреждений уголовно-исполнительной системы, органов принудительного исполнения. К ним применяется административное наказание в виде штрафа в размере 30 000 руб. (ч. 2 ст. 12.26, ч. 3 ст. 12.8, ч. 2 ст. 3.9 КоАП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Размер ответственности (например, продолжительность срока лишения прав или административного ареста) не зависит от степени опьянения. Назначение меры ответственности, в частности размера срока лишения прав, находится исключительно в компетенции суда, который может учесть смягчающие или отягчающие вину водителя обстоятельства. Как показывает судебная практика, при совершении такого рода правонарушений в первый раз и при отсутствии каких-либо серьезных последствий для окружающих (материального ущерба, морального вреда) последует минимальное наказание, предусмотренное законом.</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Возможность досрочно прекратить срок административного наказания в виде лишения права управления автомобилем или административного ареста законодательством не предусмотрена. Если такой срок назначен судом и не отменен вышестоящей судебной инстанцией, он не может быть досрочно прекращен.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Кроме того, постановление по делу об административном правонарушении по факту совершения противоправного действия подлежит отмене в случае вынесения по факту совершения этого противоправного действия постановления о возбуждении уголовного дела (п. 38 Обзора судебной практики, утв. Президиумом Верховного Суда РФ 15.11.2017).</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Лишенным права управления транспортными средствами является лицо, которому назначено административное наказание в виде лишения права управления транспортными средствами либо уголовное наказание в виде лишения права заниматься деятельностью по управлению транспортными средствами (ст. 3.8 КоАП РФ; ст. 47 УК РФ; п. 8 Постановления Пленума Верховного Суда РФ от 25.06.2019 N 20).</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уголовных наказаний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w:t>
      </w:r>
      <w:r w:rsidRPr="004704F5">
        <w:rPr>
          <w:rFonts w:ascii="Times New Roman" w:hAnsi="Times New Roman"/>
          <w:sz w:val="28"/>
          <w:szCs w:val="28"/>
        </w:rPr>
        <w:tab/>
        <w:t>Принудительные работы или лишение свободы (в любом случае - с лишением права занимать определенные должности или заниматься определенной деятельностью).</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Уголовная ответственность наступает за нарушение лицом, управляющим автомобилем, ПДД или эксплуатации транспортного средства в состоянии опьянения, повлекшее по неосторожности причинение:</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тяжкого вреда здоровью человека.</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За указанное деяние предусмотрено наказание в виде принудительных работ на срок до пяти лет или лишения свободы на срок от трех до семи лет с лишением права занимать определенные должности или заниматься определенной деятельностью на срок до трех лет (ч. 2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смерть человека.</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За указанное деяние предусмотрено наказание в виде лишения свободы на срок от пяти до двенадцати лет с лишением права занимать определенные должности или заниматься определенной деятельностью на срок до трех лет (ч. 4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смерть двух или более лиц.</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За указанное деяние предусмотрено наказание в виде лишения свободы на срок от восьми до пятнадцати лет с лишением права занимать определенные должности или заниматься определенной деятельностью на срок до трех лет (ч. 6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Указанная ответственность наступает также, если деяние сопряжено с оставлением места его совершения (ч. 2, 4, 6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w:t>
      </w:r>
      <w:r w:rsidRPr="004704F5">
        <w:rPr>
          <w:rFonts w:ascii="Times New Roman" w:hAnsi="Times New Roman"/>
          <w:sz w:val="28"/>
          <w:szCs w:val="28"/>
        </w:rPr>
        <w:tab/>
        <w:t>Обязательные или принудительные работы, или лишение свободы (в любом случае - с лишением права занимать определенные должности или заниматься определенной деятельностью).</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Уголовная ответственность за управление автомобилем в состоянии опьянения наступает в следующих случаях: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водитель подвергнут административному наказанию за управление транспортным средством в состоянии опьянения (то есть повторно управлял транспортным средством в состоянии алкогольного опьянения) или за невыполнение требования должностного лица о прохождении медицинского освидетельствования на состояние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В этом случае водитель привлекается к уголовной ответственности в виде штрафа в размере от 200 000 до 300 000 руб. или в размере заработной платы или </w:t>
      </w:r>
      <w:proofErr w:type="gramStart"/>
      <w:r w:rsidRPr="004704F5">
        <w:rPr>
          <w:rFonts w:ascii="Times New Roman" w:hAnsi="Times New Roman"/>
          <w:sz w:val="28"/>
          <w:szCs w:val="28"/>
        </w:rPr>
        <w:t>иного дохода</w:t>
      </w:r>
      <w:proofErr w:type="gramEnd"/>
      <w:r w:rsidRPr="004704F5">
        <w:rPr>
          <w:rFonts w:ascii="Times New Roman" w:hAnsi="Times New Roman"/>
          <w:sz w:val="28"/>
          <w:szCs w:val="28"/>
        </w:rPr>
        <w:t xml:space="preserve"> осужденного за период от года до двух лет, либо обязательных работ на срок до 480 часов, либо принудительных работ на срок до двух лет, либо лишения свободы на срок до двух лет (ч. 1 ст. 264.1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водитель имел судимость за нарушение в состоянии опьянения ПДД или правил эксплуатации транспортного средства, повлекшие по неосторожности причинение тяжкого вреда здоровью либо смерть человека или двух и более лиц.</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За данное деяние водитель наказывается штрафом в размере от 300 000 до 500 000 руб. или в размере заработной платы или </w:t>
      </w:r>
      <w:proofErr w:type="gramStart"/>
      <w:r w:rsidRPr="004704F5">
        <w:rPr>
          <w:rFonts w:ascii="Times New Roman" w:hAnsi="Times New Roman"/>
          <w:sz w:val="28"/>
          <w:szCs w:val="28"/>
        </w:rPr>
        <w:t>иного дохода</w:t>
      </w:r>
      <w:proofErr w:type="gramEnd"/>
      <w:r w:rsidRPr="004704F5">
        <w:rPr>
          <w:rFonts w:ascii="Times New Roman" w:hAnsi="Times New Roman"/>
          <w:sz w:val="28"/>
          <w:szCs w:val="28"/>
        </w:rPr>
        <w:t xml:space="preserve"> осужденного за период от двух до трех лет, либо исправительными работами на срок до двух лет, либо ограничением свободы на срок до трех лет, либо принудительными работами на срок до трех лет, либо лишением свободы на срок до трех лет (ч. 2 ст. 264.1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Эти наказания дополняются также лишением права занимать определенные должности или заниматься определенной деятельностью на срок соответственно до трех или до шести лет. При этом указанное дополнительное наказание распространяется на все время отбывания основных видов наказаний, но его срок начинает исчисляться после исполнения основного наказания (ст. ст. 47, 264.1 УК РФ; п. 14 Обзора практики Конституционного Суда Российской Федерации за четвертый квартал 2020 года).</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Вместе с тем при определенных обстоятельствах суд может освободить от уголовной ответственности (ст. 76.2 УК РФ).</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Default="004653B7"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Ответственность за использование электрошокового устройства в целях самообороны</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Законодательством РФ предусмотрена ответственность за превышение пределов необходимой обороны и крайней необходимости при использовании электрошоковых устройств в целях самообороны.</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Одним из видов гражданского оружия, предназначенного для самообороны, являются электрошоковые устройства отечественного производства, имеющие выходные параметры, соответствующие установленным обязательным требованиям. В частности, </w:t>
      </w:r>
      <w:proofErr w:type="spellStart"/>
      <w:r w:rsidRPr="004704F5">
        <w:rPr>
          <w:rFonts w:ascii="Times New Roman" w:hAnsi="Times New Roman"/>
          <w:sz w:val="28"/>
          <w:szCs w:val="28"/>
        </w:rPr>
        <w:t>электрошокеры</w:t>
      </w:r>
      <w:proofErr w:type="spellEnd"/>
      <w:r w:rsidRPr="004704F5">
        <w:rPr>
          <w:rFonts w:ascii="Times New Roman" w:hAnsi="Times New Roman"/>
          <w:sz w:val="28"/>
          <w:szCs w:val="28"/>
        </w:rPr>
        <w:t xml:space="preserve"> не должны вызывать изменения частоты сердечных сокращений на протяжении более чем 10 минут с момента их воздействия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xml:space="preserve">. 5 п. 1 ч. 2 ст. 3 Закона от 13.12.1996 N 150-ФЗ; Приложение N 2 к Приказу </w:t>
      </w:r>
      <w:proofErr w:type="spellStart"/>
      <w:r w:rsidRPr="004704F5">
        <w:rPr>
          <w:rFonts w:ascii="Times New Roman" w:hAnsi="Times New Roman"/>
          <w:sz w:val="28"/>
          <w:szCs w:val="28"/>
        </w:rPr>
        <w:t>Минздравсоцразвития</w:t>
      </w:r>
      <w:proofErr w:type="spellEnd"/>
      <w:r w:rsidRPr="004704F5">
        <w:rPr>
          <w:rFonts w:ascii="Times New Roman" w:hAnsi="Times New Roman"/>
          <w:sz w:val="28"/>
          <w:szCs w:val="28"/>
        </w:rPr>
        <w:t xml:space="preserve"> России от 22.10.2008 N 584н).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На территории РФ запрещен оборот (в частности, приобретение, хранение, ношение и использование) электрошоковых устройств, произведенных за границей, а также имеющих выходные параметры, превышающие величины, установленные законодательством РФ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xml:space="preserve">. 12 ч. 1 ст. 1,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10 п. 1 ст. 6 Закона N 150-ФЗ).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Совершеннолетние граждане РФ вправе приобретать </w:t>
      </w:r>
      <w:proofErr w:type="spellStart"/>
      <w:r w:rsidRPr="004704F5">
        <w:rPr>
          <w:rFonts w:ascii="Times New Roman" w:hAnsi="Times New Roman"/>
          <w:sz w:val="28"/>
          <w:szCs w:val="28"/>
        </w:rPr>
        <w:t>электрошокеры</w:t>
      </w:r>
      <w:proofErr w:type="spellEnd"/>
      <w:r w:rsidRPr="004704F5">
        <w:rPr>
          <w:rFonts w:ascii="Times New Roman" w:hAnsi="Times New Roman"/>
          <w:sz w:val="28"/>
          <w:szCs w:val="28"/>
        </w:rPr>
        <w:t xml:space="preserve"> без получения лицензии и применять их для защиты жизни, здоровья и собственности в состоянии необходимой обороны или крайней необходимости.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Однако перед применением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необходимо предупредить лицо, против которого он применяется, за исключением случаев, когда промедление создает непосредственную опасность для жизни людей или может повлечь за собой иные тяжкие последствия. При этом 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необходимой обороны не должно причинить вред третьим лицам (ч. 4 ст. 13, ч. 1 ст. 24 Закона N 150-ФЗ;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"г" п. 62 Правил, утв. Постановлением Правительства РФ от 21.07.1998 N 814).</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необходимой обороны</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необходимой обороны - защита личности и прав обороняющегося или других лиц от общественно опасного посягательства, если это посягательство сопряжено с насилием, опасным для жизни обороняющегося или другого лица, либо с непосредственной угрозой применения такого насилия (ч. 1 ст. 37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необходимой обороны не является преступлением. При этом, если посягательство не сопряжено с опасным для жизни насилием либо с угрозой применения такого насилия, 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будет правомерным, если не было допущено превышения пределов необходимой обороны - умышленных действий, явно </w:t>
      </w:r>
      <w:proofErr w:type="gramStart"/>
      <w:r w:rsidRPr="004704F5">
        <w:rPr>
          <w:rFonts w:ascii="Times New Roman" w:hAnsi="Times New Roman"/>
          <w:sz w:val="28"/>
          <w:szCs w:val="28"/>
        </w:rPr>
        <w:t>не соответствующих</w:t>
      </w:r>
      <w:proofErr w:type="gramEnd"/>
      <w:r w:rsidRPr="004704F5">
        <w:rPr>
          <w:rFonts w:ascii="Times New Roman" w:hAnsi="Times New Roman"/>
          <w:sz w:val="28"/>
          <w:szCs w:val="28"/>
        </w:rPr>
        <w:t xml:space="preserve"> характеру и опасности посягательства (ч. 1, 2 ст. 37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крайней необходимости также не является преступлением, если опасность не могла быть устранена иными средствами и при этом не было допущено превышения пределов крайней необходимости, в частности причинения вреда, явно </w:t>
      </w:r>
      <w:proofErr w:type="gramStart"/>
      <w:r w:rsidRPr="004704F5">
        <w:rPr>
          <w:rFonts w:ascii="Times New Roman" w:hAnsi="Times New Roman"/>
          <w:sz w:val="28"/>
          <w:szCs w:val="28"/>
        </w:rPr>
        <w:t>не соответствующего</w:t>
      </w:r>
      <w:proofErr w:type="gramEnd"/>
      <w:r w:rsidRPr="004704F5">
        <w:rPr>
          <w:rFonts w:ascii="Times New Roman" w:hAnsi="Times New Roman"/>
          <w:sz w:val="28"/>
          <w:szCs w:val="28"/>
        </w:rPr>
        <w:t xml:space="preserve"> характеру и степени угрожавшей опасности, когда был причинен вред равный </w:t>
      </w:r>
      <w:r w:rsidRPr="004704F5">
        <w:rPr>
          <w:rFonts w:ascii="Times New Roman" w:hAnsi="Times New Roman"/>
          <w:sz w:val="28"/>
          <w:szCs w:val="28"/>
        </w:rPr>
        <w:lastRenderedPageBreak/>
        <w:t>или более значительный, чем предотвращенный. Такое превышение влечет за собой уголовную ответственность только в случаях умышленного причинения вреда (ст. 39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крайней необходимости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Оборона в состоянии крайней необходимости - устранение опасности, непосредственно угрожающей личности и правам обороняющегося лица или иных лиц, если эта опасность не могла быть устранена иными средствами и при этом не было допущено превышения пределов крайней необходимости (ч. 1 ст. 39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Основное различие в понятиях необходимой обороны и обороны в состоянии крайней необходимости заключается в следующем: при необходимой обороне вред причиняется лицу, посягающему на личность обороняющегося или других лиц, а при обороне в состоянии крайней необходимости вред причиняется имуществу.</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C629A9" w:rsidRPr="003B6755" w:rsidRDefault="00C629A9" w:rsidP="003B6755">
      <w:pPr>
        <w:spacing w:after="0" w:line="240" w:lineRule="auto"/>
        <w:contextualSpacing/>
        <w:jc w:val="both"/>
        <w:rPr>
          <w:rFonts w:ascii="Times New Roman" w:hAnsi="Times New Roman"/>
          <w:sz w:val="28"/>
          <w:szCs w:val="28"/>
        </w:rPr>
      </w:pPr>
    </w:p>
    <w:p w:rsidR="00FB2720" w:rsidRPr="003B6755" w:rsidRDefault="00A900FD" w:rsidP="003B6755">
      <w:pPr>
        <w:spacing w:after="0" w:line="240" w:lineRule="auto"/>
        <w:contextualSpacing/>
        <w:jc w:val="both"/>
        <w:rPr>
          <w:rFonts w:ascii="Times New Roman" w:hAnsi="Times New Roman"/>
          <w:sz w:val="28"/>
          <w:szCs w:val="28"/>
        </w:rPr>
      </w:pPr>
      <w:r w:rsidRPr="003B6755">
        <w:rPr>
          <w:rFonts w:ascii="Times New Roman" w:hAnsi="Times New Roman"/>
          <w:sz w:val="28"/>
          <w:szCs w:val="28"/>
        </w:rPr>
        <w:tab/>
      </w:r>
    </w:p>
    <w:p w:rsidR="003B6755" w:rsidRPr="003B6755" w:rsidRDefault="003B6755" w:rsidP="003B6755">
      <w:pPr>
        <w:spacing w:after="0" w:line="240" w:lineRule="auto"/>
        <w:jc w:val="center"/>
        <w:rPr>
          <w:rFonts w:ascii="Times New Roman" w:hAnsi="Times New Roman"/>
          <w:sz w:val="28"/>
          <w:szCs w:val="28"/>
        </w:rPr>
      </w:pPr>
      <w:r w:rsidRPr="003B6755">
        <w:rPr>
          <w:rFonts w:ascii="Times New Roman" w:hAnsi="Times New Roman"/>
          <w:sz w:val="28"/>
          <w:szCs w:val="28"/>
        </w:rPr>
        <w:lastRenderedPageBreak/>
        <w:t>Случаи предоставления информации о счетах</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Сведения о счетах (вкладах) гражданина предоставляются банками без его согласия Банку России, Агентству по страхованию вкладов, судам, следственным органам, таможенным и налоговым органам, некоторым должностным лицам и т.п.</w:t>
      </w:r>
      <w:r w:rsidRPr="003B6755">
        <w:rPr>
          <w:rFonts w:ascii="Times New Roman" w:hAnsi="Times New Roman"/>
          <w:sz w:val="28"/>
          <w:szCs w:val="28"/>
        </w:rPr>
        <w:tab/>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Сведения о клиенте, его банковских счетах и вкладах, а также об операциях по его счетам являются банковской тайной и могут быть предоставлены банком самому клиенту или его представителю, а в предусмотренных законом случаях - в бюро кредитных историй, государственным органам (их должностным лицам) и иным лицам (п. п. 1, 2 ст. 857 ГК РФ; ч. 1 ст. 26 Закона от 02.12.1990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ему убытков (п. 3 ст. 857 ГК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Наиболее распространенные случаи предоставления третьим лицам сведений о счетах (вкладах) гражданина не им самим, а без его согласия банком либо лицами, получившими доступ к таким сведениям, можно отнести следующие.</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w:t>
      </w:r>
      <w:r w:rsidRPr="003B6755">
        <w:rPr>
          <w:rFonts w:ascii="Times New Roman" w:hAnsi="Times New Roman"/>
          <w:sz w:val="28"/>
          <w:szCs w:val="28"/>
        </w:rPr>
        <w:tab/>
        <w:t>Предоставление банками соответствующей информации Банку России при осуществлении им своих функций, а также в установленных федеральными законами случаях.</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По общему правилу Банк России не вправе раскрывать и предоставлять третьим лицам полученные им сведения об операциях, о счетах и вкладах. Исключением является предоставление таких сведений, например:</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w:t>
      </w:r>
      <w:r w:rsidRPr="003B6755">
        <w:rPr>
          <w:rFonts w:ascii="Times New Roman" w:hAnsi="Times New Roman"/>
          <w:sz w:val="28"/>
          <w:szCs w:val="28"/>
        </w:rPr>
        <w:tab/>
        <w:t>иностранному центральному банку (иному органу иностранного государства) для осуществления им банковского надзора;</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w:t>
      </w:r>
      <w:r w:rsidRPr="003B6755">
        <w:rPr>
          <w:rFonts w:ascii="Times New Roman" w:hAnsi="Times New Roman"/>
          <w:sz w:val="28"/>
          <w:szCs w:val="28"/>
        </w:rPr>
        <w:tab/>
        <w:t>следственным органам РФ при направлении Банком России заявления и материалов для решения вопроса о возбуждении уголовного дела (ч. 33, 34, 46 ст. 26 Закона N 395-1; ч. 3 ст. 51 Закона от 10.07.2002 N 86-ФЗ).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2.</w:t>
      </w:r>
      <w:r w:rsidRPr="003B6755">
        <w:rPr>
          <w:rFonts w:ascii="Times New Roman" w:hAnsi="Times New Roman"/>
          <w:sz w:val="28"/>
          <w:szCs w:val="28"/>
        </w:rPr>
        <w:tab/>
        <w:t>Наступление в отношении банка страхового случая (в данном случае, в частности, отзыв (аннулирование) у банка банковской лицензии) влечет для банка необходимость предоставить сведения по счетам и вкладам его клиентов Агентству по страхованию вкладов.</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В свою очередь Агентство обязано предоставить ставшую ему известной информацию по счетам и вкладам по запросу суда и Банка России, а также направляет ее следственным органам в составе материалов для решения вопроса о возбуждении уголовного дела (ч. 4, 10, 46 ст. 26 Закона N 395-1; п. 1 ч. 1 ст. 8, ч. 1, 2 ст. 31 Закона от 23.12.2003 N 177-ФЗ).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3.</w:t>
      </w:r>
      <w:r w:rsidRPr="003B6755">
        <w:rPr>
          <w:rFonts w:ascii="Times New Roman" w:hAnsi="Times New Roman"/>
          <w:sz w:val="28"/>
          <w:szCs w:val="28"/>
        </w:rPr>
        <w:tab/>
        <w:t>В случае смерти владельца счета (вклада) соответствующие справки выдаются лицам, указанным таким владельцем в завещательном распоряжении, нотариальным конторам по находящимся в их производстве наследственным делам о вкладах умерших вкладчиков, а в отношении счетов иностранных граждан - консульским учреждениям иностранных государств (ч. 8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lastRenderedPageBreak/>
        <w:tab/>
        <w:t>4.</w:t>
      </w:r>
      <w:r w:rsidRPr="003B6755">
        <w:rPr>
          <w:rFonts w:ascii="Times New Roman" w:hAnsi="Times New Roman"/>
          <w:sz w:val="28"/>
          <w:szCs w:val="28"/>
        </w:rPr>
        <w:tab/>
        <w:t>По требованию залогодержателя банк обязан предоставлять ему, в частности, сведения об остатке денежных средств на залоговом счете и об операциях по нему (ч. 2 ст. 358.12 ГК РФ; ч. 36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5.</w:t>
      </w:r>
      <w:r w:rsidRPr="003B6755">
        <w:rPr>
          <w:rFonts w:ascii="Times New Roman" w:hAnsi="Times New Roman"/>
          <w:sz w:val="28"/>
          <w:szCs w:val="28"/>
        </w:rPr>
        <w:tab/>
        <w:t xml:space="preserve">Совершение клиентом банка операции с денежными средствами, подлежащей обязательному контролю в целях противодействия легализации (отмыванию) доходов, полученных преступным путем, и финансированию терроризма (например, если одной из сторон операции является организация или физическое лицо, в отношении которых имеются сведения об их причастности к экстремистской деятельности или терроризму). В данном случае соответствующая информация передается банком в </w:t>
      </w:r>
      <w:proofErr w:type="spellStart"/>
      <w:r w:rsidRPr="003B6755">
        <w:rPr>
          <w:rFonts w:ascii="Times New Roman" w:hAnsi="Times New Roman"/>
          <w:sz w:val="28"/>
          <w:szCs w:val="28"/>
        </w:rPr>
        <w:t>Росфинмониторинг</w:t>
      </w:r>
      <w:proofErr w:type="spellEnd"/>
      <w:r w:rsidRPr="003B6755">
        <w:rPr>
          <w:rFonts w:ascii="Times New Roman" w:hAnsi="Times New Roman"/>
          <w:sz w:val="28"/>
          <w:szCs w:val="28"/>
        </w:rPr>
        <w:t xml:space="preserve"> (ч. 9 ст. 26 Закона N 395-1; </w:t>
      </w:r>
      <w:proofErr w:type="spellStart"/>
      <w:r w:rsidRPr="003B6755">
        <w:rPr>
          <w:rFonts w:ascii="Times New Roman" w:hAnsi="Times New Roman"/>
          <w:sz w:val="28"/>
          <w:szCs w:val="28"/>
        </w:rPr>
        <w:t>абз</w:t>
      </w:r>
      <w:proofErr w:type="spellEnd"/>
      <w:r w:rsidRPr="003B6755">
        <w:rPr>
          <w:rFonts w:ascii="Times New Roman" w:hAnsi="Times New Roman"/>
          <w:sz w:val="28"/>
          <w:szCs w:val="28"/>
        </w:rPr>
        <w:t xml:space="preserve">. 6, 7 ст. 3, п. 2, </w:t>
      </w:r>
      <w:proofErr w:type="spellStart"/>
      <w:r w:rsidRPr="003B6755">
        <w:rPr>
          <w:rFonts w:ascii="Times New Roman" w:hAnsi="Times New Roman"/>
          <w:sz w:val="28"/>
          <w:szCs w:val="28"/>
        </w:rPr>
        <w:t>пп</w:t>
      </w:r>
      <w:proofErr w:type="spellEnd"/>
      <w:r w:rsidRPr="003B6755">
        <w:rPr>
          <w:rFonts w:ascii="Times New Roman" w:hAnsi="Times New Roman"/>
          <w:sz w:val="28"/>
          <w:szCs w:val="28"/>
        </w:rPr>
        <w:t xml:space="preserve">. 1 п. 4 ст. 6, </w:t>
      </w:r>
      <w:proofErr w:type="spellStart"/>
      <w:r w:rsidRPr="003B6755">
        <w:rPr>
          <w:rFonts w:ascii="Times New Roman" w:hAnsi="Times New Roman"/>
          <w:sz w:val="28"/>
          <w:szCs w:val="28"/>
        </w:rPr>
        <w:t>пп</w:t>
      </w:r>
      <w:proofErr w:type="spellEnd"/>
      <w:r w:rsidRPr="003B6755">
        <w:rPr>
          <w:rFonts w:ascii="Times New Roman" w:hAnsi="Times New Roman"/>
          <w:sz w:val="28"/>
          <w:szCs w:val="28"/>
        </w:rPr>
        <w:t>. 4 п. 1 ст. 7 Закона от 07.08.2001 N 115-ФЗ).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6.</w:t>
      </w:r>
      <w:r w:rsidRPr="003B6755">
        <w:rPr>
          <w:rFonts w:ascii="Times New Roman" w:hAnsi="Times New Roman"/>
          <w:sz w:val="28"/>
          <w:szCs w:val="28"/>
        </w:rPr>
        <w:tab/>
        <w:t>При осуществлении валютного контроля уполномоченные банки передают имеющиеся в их распоряжении копии отдельных документов (подтверждающие, в частности, совершение валютных операций) таможенным и налоговым органам по их запросам (ч. 18 ст. 26 Закона N 395-1; ч. 2 и 6 ст. 22, п. 10 ч. 4, ч. 13 ст. 23 Закона от 10.12.2003 N 173-ФЗ).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7.</w:t>
      </w:r>
      <w:r w:rsidRPr="003B6755">
        <w:rPr>
          <w:rFonts w:ascii="Times New Roman" w:hAnsi="Times New Roman"/>
          <w:sz w:val="28"/>
          <w:szCs w:val="28"/>
        </w:rPr>
        <w:tab/>
        <w:t>При открытии, закрытии счетов (вкладов), изменении их реквизитов соответствующая информация передается банком в налоговый орган (ч. 27 ст. 26 Закона N 395-1; п. 1.1 ст. 86 НК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8.</w:t>
      </w:r>
      <w:r w:rsidRPr="003B6755">
        <w:rPr>
          <w:rFonts w:ascii="Times New Roman" w:hAnsi="Times New Roman"/>
          <w:sz w:val="28"/>
          <w:szCs w:val="28"/>
        </w:rPr>
        <w:tab/>
        <w:t>По мотивированному запросу налогового органа в установленных случаях справки о наличии счетов (вкладов) в банке, об остатках на них денежных средств, выписки по операциям на счетах (по вкладам) предоставляются банком в налоговый орган (ч. 28 ст. 26 Закона N 395-1; п. 2 ст. 86 НК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9.</w:t>
      </w:r>
      <w:r w:rsidRPr="003B6755">
        <w:rPr>
          <w:rFonts w:ascii="Times New Roman" w:hAnsi="Times New Roman"/>
          <w:sz w:val="28"/>
          <w:szCs w:val="28"/>
        </w:rPr>
        <w:tab/>
        <w:t>В деле о банкротстве гражданина сведения, составляющие банковскую тайну, могут быть получены финансовым управляющим (п. 10 ст. 213.9 Закона от 26.10.2002 N 127-ФЗ).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10.</w:t>
      </w:r>
      <w:r w:rsidRPr="003B6755">
        <w:rPr>
          <w:rFonts w:ascii="Times New Roman" w:hAnsi="Times New Roman"/>
          <w:sz w:val="28"/>
          <w:szCs w:val="28"/>
        </w:rPr>
        <w:tab/>
        <w:t>Сведения по счетам и вкладам их клиентов предоставляются банками судам, а также на основании судебного решения должностным лицам органов, уполномоченных осуществлять оперативно-розыскную деятельность (ч. 4, 5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11.</w:t>
      </w:r>
      <w:r w:rsidRPr="003B6755">
        <w:rPr>
          <w:rFonts w:ascii="Times New Roman" w:hAnsi="Times New Roman"/>
          <w:sz w:val="28"/>
          <w:szCs w:val="28"/>
        </w:rPr>
        <w:tab/>
        <w:t>При проведении (в рамках противодействия коррупции) проверки достоверности и полноты предоставленных сведений о доходах, расходах и имуществе отдельных граждан (претендующих, например, на замещение государственных должностей субъектов РФ), их супругов и несовершеннолетних детей справки по их счетам (вкладам) выдаются по запросу определенным должностным лицам (в частности, руководителям высших исполнительных органов государственной власти субъектов РФ) (ч. 6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12.</w:t>
      </w:r>
      <w:r w:rsidRPr="003B6755">
        <w:rPr>
          <w:rFonts w:ascii="Times New Roman" w:hAnsi="Times New Roman"/>
          <w:sz w:val="28"/>
          <w:szCs w:val="28"/>
        </w:rPr>
        <w:tab/>
        <w:t xml:space="preserve">При проведении проверки достоверности сведений, предоставленных в избирательные комиссии кандидатами в депутаты (на иные выборные должности), сведения о счетах (вкладах) таких лиц (в установленных случаях - их супругов и несовершеннолетних детей) предоставляются банками в </w:t>
      </w:r>
      <w:r w:rsidRPr="003B6755">
        <w:rPr>
          <w:rFonts w:ascii="Times New Roman" w:hAnsi="Times New Roman"/>
          <w:sz w:val="28"/>
          <w:szCs w:val="28"/>
        </w:rPr>
        <w:lastRenderedPageBreak/>
        <w:t>Центральную избирательную комиссию РФ, избирательные комиссии субъектов РФ (ч. 38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13.</w:t>
      </w:r>
      <w:r w:rsidRPr="003B6755">
        <w:rPr>
          <w:rFonts w:ascii="Times New Roman" w:hAnsi="Times New Roman"/>
          <w:sz w:val="28"/>
          <w:szCs w:val="28"/>
        </w:rPr>
        <w:tab/>
        <w:t>Информация о случаях или попытках осуществления переводов денежных средств без согласия клиента (в том числе сведения о соответствующих счетах и вкладах) предоставляется операторами платежных систем в Банк России. При этом по общему правилу они не вправе раскрывать третьим лицам такую информацию (ч. 15, 41 ст. 26 Закона N 395-1; ч. 6 ст. 27 Закона от 27.06.2011 N 161-ФЗ).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14.</w:t>
      </w:r>
      <w:r w:rsidRPr="003B6755">
        <w:rPr>
          <w:rFonts w:ascii="Times New Roman" w:hAnsi="Times New Roman"/>
          <w:sz w:val="28"/>
          <w:szCs w:val="28"/>
        </w:rPr>
        <w:tab/>
        <w:t>В целях установления имущественного положения должника справки по его счетам (вкладам) выдаются банком по запросу судебного пристава-исполнителя (ч. 4 ст. 26 Закона N 395-1; ч. 8 ст. 69 Закона от 02.10.2007 N 229-ФЗ; ст. 6.1 Закона от 21.07.1997 N 118-ФЗ).</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r>
      <w:r w:rsidRPr="003B6755">
        <w:rPr>
          <w:rFonts w:ascii="Times New Roman" w:hAnsi="Times New Roman"/>
          <w:sz w:val="28"/>
          <w:szCs w:val="28"/>
        </w:rPr>
        <w:tab/>
      </w:r>
      <w:r w:rsidRPr="003B6755">
        <w:rPr>
          <w:rFonts w:ascii="Times New Roman" w:hAnsi="Times New Roman"/>
          <w:sz w:val="28"/>
          <w:szCs w:val="28"/>
        </w:rPr>
        <w:tab/>
      </w:r>
      <w:r w:rsidRPr="003B6755">
        <w:rPr>
          <w:rFonts w:ascii="Times New Roman" w:hAnsi="Times New Roman"/>
          <w:sz w:val="28"/>
          <w:szCs w:val="28"/>
        </w:rPr>
        <w:tab/>
        <w:t>Помощник прокурора Быкова Д.О.</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Default="003B6755" w:rsidP="003B6755">
      <w:pPr>
        <w:jc w:val="both"/>
        <w:rPr>
          <w:szCs w:val="28"/>
        </w:rPr>
      </w:pPr>
    </w:p>
    <w:p w:rsidR="003B6755" w:rsidRDefault="003B6755" w:rsidP="003B6755">
      <w:pPr>
        <w:jc w:val="both"/>
        <w:rPr>
          <w:szCs w:val="28"/>
        </w:rPr>
      </w:pPr>
    </w:p>
    <w:sectPr w:rsidR="003B6755" w:rsidSect="004704F5">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882245"/>
    <w:rsid w:val="000B2154"/>
    <w:rsid w:val="001F6056"/>
    <w:rsid w:val="0023059F"/>
    <w:rsid w:val="00236AC6"/>
    <w:rsid w:val="00243E3A"/>
    <w:rsid w:val="002966B9"/>
    <w:rsid w:val="00364FBD"/>
    <w:rsid w:val="003661B6"/>
    <w:rsid w:val="003B6755"/>
    <w:rsid w:val="00410E97"/>
    <w:rsid w:val="00415BC8"/>
    <w:rsid w:val="004653B7"/>
    <w:rsid w:val="004704F5"/>
    <w:rsid w:val="005A42D2"/>
    <w:rsid w:val="006E2098"/>
    <w:rsid w:val="00882245"/>
    <w:rsid w:val="00A900FD"/>
    <w:rsid w:val="00B11B0B"/>
    <w:rsid w:val="00BF3AF4"/>
    <w:rsid w:val="00C32B2D"/>
    <w:rsid w:val="00C629A9"/>
    <w:rsid w:val="00D11CD8"/>
    <w:rsid w:val="00D2672F"/>
    <w:rsid w:val="00ED28EA"/>
    <w:rsid w:val="00F620AE"/>
    <w:rsid w:val="00F767B1"/>
    <w:rsid w:val="00FB27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62241"/>
  <w15:docId w15:val="{6CD73F92-FFAD-48CD-B6E7-8AF2342B1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18</Pages>
  <Words>6121</Words>
  <Characters>34894</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admin</cp:lastModifiedBy>
  <cp:revision>10</cp:revision>
  <dcterms:created xsi:type="dcterms:W3CDTF">2021-07-19T10:59:00Z</dcterms:created>
  <dcterms:modified xsi:type="dcterms:W3CDTF">2022-05-18T02:10:00Z</dcterms:modified>
</cp:coreProperties>
</file>